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social_capital_digital_literacy_ses</w:t>
      </w:r>
    </w:p>
    <w:p>
      <w:r>
        <w:t xml:space="preserve"> </w:t>
      </w:r>
    </w:p>
    <w:p>
      <w:pPr>
        <w:pStyle w:val="Heading2"/>
      </w:pPr>
      <w:r>
        <w:t>Title</w:t>
      </w:r>
    </w:p>
    <w:p>
      <w:r>
        <w:t>Regression-based analysis of how social capital, digital literacy, and socioeconomic status affect access to higher education among Chinese high school graduates</w:t>
      </w:r>
    </w:p>
    <w:p>
      <w:r>
        <w:t xml:space="preserve"> </w:t>
      </w:r>
    </w:p>
    <w:p>
      <w:pPr>
        <w:pStyle w:val="Heading2"/>
      </w:pPr>
      <w:r>
        <w:t>Short Hypothesis</w:t>
      </w:r>
    </w:p>
    <w:p>
      <w:r>
        <w:t>Higher social capital causally increases the probability that Chinese high-school graduates gain admission to higher education, and this positive effect is larger for students with higher digital literacy and higher socioeconomic status.</w:t>
      </w:r>
    </w:p>
    <w:p>
      <w:r>
        <w:t xml:space="preserve"> </w:t>
      </w:r>
    </w:p>
    <w:p>
      <w:pPr>
        <w:pStyle w:val="Heading2"/>
      </w:pPr>
      <w:r>
        <w:t>Related Work</w:t>
      </w:r>
    </w:p>
    <w:p>
      <w:r>
        <w:t>Prior work splits into three connected strands: (1) social-capital and network studies that measure how ties, brokerage, and tie strength relate to educational outcomes using ego-network surveys and network metrics; (2) digital-literacy and HCI studies that operationalize online navigation skills with performance tasks and digital traces and link those skills to successful application behaviors; (3) quantitative causal-inference and mediation literature using regression, structural equation models (SEM), inverse-probability weighting (IPW), target-maximum likelihood estimation (TMLE), and instrumental variables (IV) to estimate direct and indirect effects. Limitations across these approaches include: reliance on cross-sectional or small pilot samples limiting causal claims; coarse or self-report digital-literacy measures that suffer measurement error; most causal methods ignoring network interference (peer spillovers) or handling it ad hoc; inadequate validation of network reports with administrative or trace data; weakly justified simulation priors for power analyses; and sparse attention to privacy-preserving linkage and differential-privacy impacts on analytic utility.</w:t>
      </w:r>
    </w:p>
    <w:p>
      <w:r>
        <w:t xml:space="preserve"> </w:t>
      </w:r>
    </w:p>
    <w:p>
      <w:pPr>
        <w:pStyle w:val="Heading2"/>
      </w:pPr>
      <w:r>
        <w:t>Abstract</w:t>
      </w:r>
    </w:p>
    <w:p>
      <w:r>
        <w:t>This study examines how social capital shapes access to higher education for Chinese high-school graduates and how digital literacy and socioeconomic status (SES) interact with social capital to influence admission outcomes. Using regression-based causal and mediation analyses on survey, ego-network, digital-performance, and administrative data, we estimate interventional direct and indirect effects under partial interference (peer spillovers within schools). Main contributions are: (1) a combined measurement protocol for validated ego-networks and calibrated digital-literacy latent scores; (2) pre-registered estimands and interference-aware estimators (IPW/TMLE and network decomposition); and (3) integrated privacy-preserving linkage and synthetic-data release procedures. Expected outcomes include quantified marginal effects of social capital on admission probability, decomposition of mediation paths through digital literacy, evidence of heterogeneity by SES, and sensitivity bounds for interference and measurement error. Results will inform-targeted interventions that leverage networks and digital-skill training to reduce educational inequality.</w:t>
      </w:r>
    </w:p>
    <w:p>
      <w:r>
        <w:t xml:space="preserve"> </w:t>
      </w:r>
    </w:p>
    <w:p>
      <w:pPr>
        <w:pStyle w:val="Heading2"/>
      </w:pPr>
      <w:r>
        <w:t>Experiments</w:t>
      </w:r>
    </w:p>
    <w:p>
      <w:r>
        <w:t>Datasets: (a) pilot survey n=629 across western, central, eastern provinces with ego-network modules and digital-literacy tasks; (b) planned longitudinal cohort N=2,500–3,500 nested in 80–120 schools; (c) opt-in digital-trace logs (time-bounded metadata only); (d) administrative records on application submission, completeness, and admission outcomes. Baselines: (1) logistic regression of admission on SES only; (2) logistic + social-capital network summary measures; (3) logistic + digital-literacy latent score; (4) multilevel mixed-effects models with school random intercepts; (5) SEM mediation with observed mediators. Causal estimators: IPW and doubly robust TMLE for average effects; mediation via interventional indirect/direct effects under partial interference; network-aware estimators (Horvitz–Thompson style IPW for two-stage designs; Aronow–Samii decomposition) and IV analyses using counselor-caseload or staggered rollout instruments. Evaluation metrics: admission probability marginal effects (average marginal effect), odds ratios, AUC for predictive checks, RMSE for continuous scores, bias and RMSE of estimated mediation paths in simulations, 95% CI coverage, proportion mediated, balance diagnostics (standardized mean differences), precision/recall of PPRL linkage, and DP utility metrics (bias/RMSE on coefficients, KS distance). Experimental setup: preprocess with survey weights and clustering; compute IRT-calibrated latent digital-literacy scores; construct normalized exposure index = weighted sum of alters' treatments and trace engagement; run multilevel mediation with cluster-robust SEs and bootstrap percentile CIs (1,000 resamples); compute TMLE with machine-learning outcome and propensity fits (cross-validated learners). Ablations and comparisons: (A) remove network spillovers (assume no interference) vs full interference-aware estimator to quantify bias; (B) exclude digital-literacy mediator to measure change in social-capital effect; (C) compare IPW vs TMLE vs g-formula for main estimand; (D) simulation study grid varying ICC (0.01–0.10), attrition (10/25/40%), network density/topology (sparse, small-world, clustered) to assess power, bias, and variance. Missing data: multiple imputation under MAR with MNAR tipping-point sensitivity and pattern-mixture models reported. Variance estimation: asymptotic sandwich estimators and nonparametric bootstrap. Pre-registration: all estimands, thresholds, and decision rules for sample adjustments pre-specified.</w:t>
      </w:r>
    </w:p>
    <w:p>
      <w:r>
        <w:t xml:space="preserve"> </w:t>
      </w:r>
    </w:p>
    <w:p>
      <w:pPr>
        <w:pStyle w:val="Heading2"/>
      </w:pPr>
      <w:r>
        <w:t>Risk Factors And Limitations</w:t>
      </w:r>
    </w:p>
    <w:p>
      <w:r>
        <w:t>Measurement error: misreporting in name-generator networks and imperfect digital-task calibration will bias mediation estimates. Nonrandom opt-in: digital-trace and task opt-in may be correlated with SES and outcomes, producing selection bias. PPRL failures: lower-than-expected linkage precision/recall will reduce usable linked data. Differential privacy: synthetic public releases with small epsilon may materially reduce utility for mediation and network metrics. Interference misspecification: incorrect block definitions or ignoring cross-block spillovers will bias network-aware estimators. Unmeasured confounding: mediator–outcome confounders not observed will threaten causal mediation identification. Attrition: longitudinal drop-out, especially by low-SES groups, will reduce power and may induce bias. Generalization limits: results will primarily generalize to sampled provinces and school types in China and may not apply to other countries or educational systems. Resource limits: required sample sizes, validation subsamples, and secure-enclave infrastructure may strain budget and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