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accented_malayalam_hate_speech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deep learning framework with engineered acoustic features and augmentation for hate speech detection in accented Malayalam speech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1D-CNN trained on fused multi-level acoustic features (zero-crossing rate, short-time Fourier transform, MFCC, root-mean-square energy, and mel spectrogram) combined with data augmentation and SMOTE class balancing will achieve at least 0.03 absolute improvement in macro-F1 on speaker-independent accented Malayalam hate-speech detection compared to a model trained only on learned speech embeddings (wav2vec2) under identical conditions.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hate-speech detection largely follow two streams: (1) text-based pipelines that run ASR (automatic speech recognition) then apply text classifiers, and (2) end-to-end or acoustic-based speech classifiers that operate on audio features. Text-pipeline limits: ASR errors and accent bias can cascade into wrong labels. Learned-speech methods (for example, models using pretrained speech encoders) capture broad speech patterns but may miss fine-grained acoustic cues important in accented speech. Acoustic-feature methods (MFCCs, spectrograms, prosody) can capture signal cues but are often evaluated on narrow accent sets and lack large-scale validation. Common gaps: few works test speaker-independent splits, cross-dataset generalization, or per-accent robustness under noise; class imbalance handling (SMOTE or similar) and multi-stream fusion of engineered+learned features are underexplored. Prior studies also rarely report calibration (how well confidence matches correctness) or severity-scale modeling for ambiguous cases.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hate-speech detection in accented Malayalam speech by combining engineered acoustic features with deep learning and targeted augmentation. The proposed framework extracts multi-level acoustic descriptors (zero-crossing rate, STFT, MFCC, RMS, mel spectrogram) to form rich feature vectors, augments training data with noise injection, time-stretching, and pitch shifts, and balances classes using SMOTE (a synthetic oversampling method that creates new minority-class examples). A 1D-CNN is trained on fused engineered and learned streams and evaluated alongside classical classifiers (SVM, Random Forest, XGBoost, LightGBM) under speaker-independent, cross-dataset, and noise-perturbed validations. The main contribution is a reproducible pipeline that quantifies how engineered features, augmentation, and balancing affect robustness to accents and noise. Expected outcome: a measurable improvement in macro-F1 and per-accent reliability compared to embedding-only baselines, plus detailed failure-mode analysis for deployment planning. Results will guide practical choices for ASR use, annotation protocols, and production safeguards.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Collected pilot dataset: N=1,500 utterances stratified across five accent groups (Malabar, Travancore, Kochi, Central Kerala, diaspora), each item labeled by 3 annotators and adjudicated; speaker-disjoint splits with &gt;=40 speakers/accent. (B) External holdout: N&gt;=500 utterances from a separate Malayalam speech source or withheld speakers for cross-dataset testing. Preprocessing: standardize sample rate, voice activity detection, and per-utterance CMVN (cepstral mean/variance normalization). Feature sets: engineered features (ZCR: zero-crossing rate; STFT: short-time Fourier transform spectrogram; MFCC: mel-frequency cepstral coefficients; RMS energy; mel spectrogram), learned embeddings (wav2vec2 frame-level pooled). Data augmentation: noise injection (SNR 5/10/20 dB), time-stretch ±5–10%, pitch shift ±1–2 semitones, SpecAugment. Class balancing: SMOTE (synthetic minority oversampling). Baselines: (1) wav2vec2 fine-tuned classifier (learned embeddings only), (2) 1D-CNN on raw waveform, (3) SVM on MFCCs, (4) Random Forest on engineered features, (5) XGBoost and LightGBM on engineered features. Proposed models: fused model (wav2vec2 + engineered features) with a 1D-CNN head and gated cross-attention fusion. Validation protocols: stratified hold-out (70/15/15 speaker-disjoint), 5-fold speaker-disjoint cross-validation, speaker-independent holdout by accent, cross-dataset evaluation, and noise-perturbed stress tests (SNR 20/10/5 dB; RT60 0.3/0.6/1.0s). Ablations: remove engineered stream; remove augmentation; remove SMOTE; change fusion (concatenation vs gated attention); toggle adversarial accent-invariance objective. Metrics: macro-F1 (primary), per-accent F1, precision, recall, ROC-AUC, Expected Calibration Error (ECE), confusion matrices, and Krippendorff's alpha for label reliability. Statistical tests: paired bootstrap (10,000 resamples) for 95% CI on macro-F1 and McNemar's test for paired binary comparisons. Model training details: AdamW optimizer, lr 1e-4–3e-5 range, batch 16–32, epochs 10–30, early stopping on dev macro-F1; run each configuration with 3 random seeds and report mean±std. Hardware: single 16–32GB GPU per run as baseline.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Annotation and label noise: subjective judgments (implicit or sarcastic hate) produce ambiguous labels that reduce training signal. ASR cascade risk: if ASR is used, accent-biased errors can change input text and reduce accuracy. Data size and class imbalance: small minority-class counts limit model learning and inflate variance. Accent coverage: pilot accent groups may not represent all dialects or diaspora variants—models may not generalize. Overfitting and compute: complex fusion models require GPU resources and risk overfitting on limited data. Privacy and consent: audio sharing restrictions or withdrawal requests can reduce usable data. Lexicon risks: curated slur lists can miss euphemisms or flag benign phrases (false positives). Adversarial accent objectives: removing accent signals may erase real dialectal markers of hate. Calibration limits: confidence scores may remain poorly calibrated across accents. Ethical risks: automated moderation errors can disproportionately harm specific communities. Generalization: methods tuned for Malayalam acoustic patterns may not transfer to other languages without rework.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