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fuzzy_pa_western_taiwan</w:t>
      </w:r>
    </w:p>
    <w:p>
      <w:r>
        <w:t xml:space="preserve"> </w:t>
      </w:r>
    </w:p>
    <w:p>
      <w:pPr>
        <w:pStyle w:val="Heading2"/>
      </w:pPr>
      <w:r>
        <w:t>Title</w:t>
      </w:r>
    </w:p>
    <w:p>
      <w:r>
        <w:t>Applying an interval type-2 fuzzy distinction method to map precautionary areas for offshore wind farms on Taiwan's western coast</w:t>
      </w:r>
    </w:p>
    <w:p>
      <w:r>
        <w:t xml:space="preserve"> </w:t>
      </w:r>
    </w:p>
    <w:p>
      <w:pPr>
        <w:pStyle w:val="Heading2"/>
      </w:pPr>
      <w:r>
        <w:t>Short Hypothesis</w:t>
      </w:r>
    </w:p>
    <w:p>
      <w:r>
        <w:t>Using an interval type-2 (IT2) fuzzy inference model that integrates AIS-derived shipping density, ecological sensitivity layers, and wind/hydrodynamic factors produces precautionary-area maps that achieve higher fuzzy AUC and lower core-zone uncertainty than (a) a comparable type-1 fuzzy model and (b) shipping-only kernel-density buffers.</w:t>
      </w:r>
    </w:p>
    <w:p>
      <w:r>
        <w:t xml:space="preserve"> </w:t>
      </w:r>
    </w:p>
    <w:p>
      <w:pPr>
        <w:pStyle w:val="Heading2"/>
      </w:pPr>
      <w:r>
        <w:t>Related Work</w:t>
      </w:r>
    </w:p>
    <w:p>
      <w:r>
        <w:t>Existing spatial precaution and risk mapping methods for offshore wind sites typically use one of three approaches: (1) deterministic buffers and rule-based zoning (simple fixed-distance exclusion zones), (2) probabilistic/ensemble risk models that propagate aleatory variability (randomness) via Monte Carlo, and (3) type-1 fuzzy systems that fuse heterogeneous layers with crisp membership functions. Deterministic buffers are easy to interpret but ignore uncertainty and multiple stressors. Probabilistic models capture aleatory variability but require strong statistical models per input and are weak at encoding expert semantic rules. Type-1 fuzzy models handle imprecise semantic rules but do not capture epistemic uncertainty (uncertainty about model parameters or sparse data). Prior IT2 fuzzy-set applications exist in environmental decision support but are rare for marine spatial planning at offshore-wind scales, and they lack scalable alpha-cut implementations and GIS-ready validation against expert polygons. Limitations across prior work include: poor handling of mixed epistemic and aleatory uncertainty, weak spatial validation protocols that ignore spatial autocorrelation, limited integration of AIS time-series and wake-engineering footprints, and sparse reproducible benchmarks for compute and memory at million-cell resolutions.</w:t>
      </w:r>
    </w:p>
    <w:p>
      <w:r>
        <w:t xml:space="preserve"> </w:t>
      </w:r>
    </w:p>
    <w:p>
      <w:pPr>
        <w:pStyle w:val="Heading2"/>
      </w:pPr>
      <w:r>
        <w:t>Abstract</w:t>
      </w:r>
    </w:p>
    <w:p>
      <w:r>
        <w:t>We address the problem of delineating precautionary areas (PAs) for offshore wind farms along Taiwan's western coast under mixed uncertainties and multi-source hazards. We propose a spatial decision framework that fuses AIS-derived ship-navigation density, ecological sensitivity layers (birds, marine mammals, benthic habitats), and wind/wake hydrodynamic factors using an interval type-2 (IT2) fuzzy inference engine. IT2 fuzzy sets explicitly represent epistemic uncertainty by bounding membership functions with lower and upper membership functions; alpha-cuts convert those bounds into interval propagation for rasterized spatial domains. The main contribution is a GIS-ready IT2 pipeline that: (1) specifies numeric membership shapes and a 12–16 rule base, (2) separates epistemic vs aleatory uncertainty and propagates them with alpha-cut + ensemble methods, and (3) provides reproducible validation using fuzzy AUC, fuzzy confusion matrices, and spatial block resampling. Expected outcome: PA maps with quantified uncertainty bands that outperform type-1 fuzzy and shipping-only baselines in predictive agreement with expert-labeled precaution polygons and that are computationally tractable at pilot scales for operational use.</w:t>
      </w:r>
    </w:p>
    <w:p>
      <w:r>
        <w:t xml:space="preserve"> </w:t>
      </w:r>
    </w:p>
    <w:p>
      <w:pPr>
        <w:pStyle w:val="Heading2"/>
      </w:pPr>
      <w:r>
        <w:t>Experiments</w:t>
      </w:r>
    </w:p>
    <w:p>
      <w:r>
        <w:t>Datasets: (a) AIS archive ≥1 year for western Taiwan (raw tracks and vessel types), (b) bathymetry and metocean time series (wind, waves), (c) ecological layers: bird density rasters, PAM/telemetry detections (target ≥1000 detections across seasons), IBAs/IMMA polygons, benthic sensitivity maps, (d) expert-labeled precaution polygons (≥30 independent maps), (e) incident/near-miss records (50–100 if available). Pilot domain: Changhua 50×50 km (50 m and 200 m grid resolutions). Full-scale test: up to 10,000 km2 at 50–200 m. Baselines: (B1) type-1 fuzzy inference system with identical rule set and centroid defuzzification, (B2) kernel-density shipping-only precaution raster with vessel-type weighting, (B3) probabilistic ensemble risk score (Monte Carlo fusion of layers without fuzzy rules). Metrics: fuzzy AUC (area under fuzzy ROC), fuzzy confusion (TP = Σ min(µpred,µtrue); FP/FN accordingly), core-zone uncertainty width = mean(µU−µL) inside µ&gt;0.8, area agreement (%) relative to expert polygons, runtime and peak memory, and sensitivity indices (Morris screening then Sobol on top drivers). Statistical procedures: compute 95% CI for fuzzy AUC via block bootstrap (spatial blocks) and permutation tests with restricted permutations to preserve spatial structure; null hypothesis: model AUC equals random assignment. Experimental setup: implement IT2 with nine alpha-cuts (α = 0.0,0.125,...,1.0) and Karnik-Mendel type-reduction (selected variant described in code). Run each model on VM tiers: 32 GB (pilot) and 64 GB (stress). Repeats: run 30 bootstrap resamples for CI and 1000 permutations for significance. Ablations: (A1) remove IT2 (use type-1) to test IT2 value; (A2) drop ecological layers to measure ecological contribution; (A3) drop wake-effect input to measure engineering effect; (A4) vary alpha-cuts {5,9,15} to test convergence and runtime. Acceptance criteria: IT2 model yields fuzzy AUC ≥0.75 and mean core-zone uncertainty width ≤0.15, and statistically significant improvement (p&lt;0.05 block-permutation) over both B1 and B2.</w:t>
      </w:r>
    </w:p>
    <w:p>
      <w:r>
        <w:t xml:space="preserve"> </w:t>
      </w:r>
    </w:p>
    <w:p>
      <w:pPr>
        <w:pStyle w:val="Heading2"/>
      </w:pPr>
      <w:r>
        <w:t>Risk Factors And Limitations</w:t>
      </w:r>
    </w:p>
    <w:p>
      <w:r>
        <w:t>Data access and quality: AIS archives, PAM and telemetry data may be restricted or sparse; sparse ecological data produce wide IT2 intervals and large data-poor areas. Evaluation bias: expert polygons may be inconsistent and spatially autocorrelated, which can inflate apparent agreement if not properly blocked. Computational limits: IT2 alpha-cut propagation across millions of cells increases memory and runtime; VM constraints may force downscaling, streaming, or surrogate models. Algorithmic convergence: type-reduction (Karnik-Mendel) may fail to converge rapidly for wide IT2 footprints, requiring more alpha-cuts and raising cost. Model misspecification: rule weights and membership shapes are subjective; poorly calibrated rules can bias precaution maps. Transferability: parameter choices and elicited thresholds tuned to western Taiwan may not generalize to other regions without re-elicitation. Stakeholder acceptance: governance thresholds derived from µ-bands may require regulator calibration and legal alignment before operational use.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