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w:t>
      </w:r>
    </w:p>
    <w:p>
      <w:r>
        <w:t xml:space="preserve"> </w:t>
      </w:r>
    </w:p>
    <w:p>
      <w:pPr>
        <w:pStyle w:val="Heading2"/>
      </w:pPr>
      <w:r>
        <w:t>Title</w:t>
      </w:r>
    </w:p>
    <w:p>
      <w:r>
        <w:t>Reproducible longitudinal bibliometric mapping of dance therapy research in rehabilitation (2000–2024)</w:t>
      </w:r>
    </w:p>
    <w:p>
      <w:r>
        <w:t xml:space="preserve"> </w:t>
      </w:r>
    </w:p>
    <w:p>
      <w:pPr>
        <w:pStyle w:val="Heading2"/>
      </w:pPr>
      <w:r>
        <w:t>Short Hypothesis</w:t>
      </w:r>
    </w:p>
    <w:p>
      <w:r>
        <w:t>Studies of dance therapy in rehabilitation that provide standardized, detailed intervention descriptions and demonstrate lower risk-of-bias will have higher normalized citation impact and greater centrality in co-authorship and co-citation networks than studies without these features.</w:t>
      </w:r>
    </w:p>
    <w:p>
      <w:r>
        <w:t xml:space="preserve"> </w:t>
      </w:r>
    </w:p>
    <w:p>
      <w:pPr>
        <w:pStyle w:val="Heading2"/>
      </w:pPr>
      <w:r>
        <w:t>Related Work</w:t>
      </w:r>
    </w:p>
    <w:p>
      <w:r>
        <w:t>Existing work on dance therapy in rehabilitation consists mainly of narrative reviews, topic-specific systematic reviews (for Parkinson's disease, older adults, stroke, oncology), and isolated empirical trials (e.g., tango in Parkinson's). Prior bibliometric studies in adjacent rehabilitation fields have mapped authorship and keywords but typically (1) are cross-sectional rather than longitudinal, (2) rely on single databases or imperfect de-duplication, (3) do not incorporate formal risk-of-bias (RoB) weighting into network metrics, (4) seldom validate search recall against a seed set or disambiguation thresholds, and (5) often exclude non-English and gray literature or lack transparent translation appraisal. These gaps limit understanding of thematic evolution, true collaboration structure, intervention reporting quality, trial-to-publication linkage, and the influence of methodological quality on perceived impact. No reproducible, quality-weighted, two-decade bibliometric mapping focused specifically on dance movement therapy (DMT) within rehabilitation has been published.</w:t>
      </w:r>
    </w:p>
    <w:p>
      <w:r>
        <w:t xml:space="preserve"> </w:t>
      </w:r>
    </w:p>
    <w:p>
      <w:pPr>
        <w:pStyle w:val="Heading2"/>
      </w:pPr>
      <w:r>
        <w:t>Abstract</w:t>
      </w:r>
    </w:p>
    <w:p>
      <w:r>
        <w:t>We propose a reproducible, longitudinal bibliometric analysis of dance therapy research in rehabilitation covering 2000–2024. Using multi-database exports (Web of Science, Scopus, PubMed, Embase, CINAHL) plus trial registries and gray literature, we will apply standardized search strings, deterministic and validated fuzzy de-duplication, author/institution disambiguation, risk-of-bias appraisal, and an intervention taxonomy aligned to TIDieR and the ICF (International Classification of Functioning). Core contributions are: (1) the first longitudinal, reproducible map of intellectual structure and thematic evolution in dance therapy for rehabilitation; (2) quality-weighted network metrics that integrate RoB assessments; (3) validated procedures for search recall, translation, disambiguation, and trial-publication linkage; and (4) open data, code, and containerized pipelines. Expected outcomes include validated thematic clusters, evidence of how intervention reporting and study quality relate to scholarly impact, and actionable visualizations to guide future trials and standardized reporting in the field.</w:t>
      </w:r>
    </w:p>
    <w:p>
      <w:r>
        <w:t xml:space="preserve"> </w:t>
      </w:r>
    </w:p>
    <w:p>
      <w:pPr>
        <w:pStyle w:val="Heading2"/>
      </w:pPr>
      <w:r>
        <w:t>Experiments</w:t>
      </w:r>
    </w:p>
    <w:p>
      <w:r>
        <w:t>Datasets: exports from Web of Science Core Collection, Scopus, PubMed, Embase, CINAHL (2000–2024; Document types=Article, Review), ClinicalTrials.gov/ISRCTN/WHO ICTRP, theses and conference abstracts (gray). Exact queries as specified in the protocol; export fields include title, authors, ORCID, affiliations, abstracts, keywords, references, DOI/PMID, year, language, funding, times-cited, OA status. Baselines: (A) standard unweighted bibliometric pipeline (keyword co-occurrence, author/institution networks) and (B) pipeline without gray literature inclusion. Tools: R (bibliometrix), VOSviewer, CiteSpace, BERTopic/LDA for topics, OpenRefine for cleaning. Preprocessing: deduplicate by DOI/PMID; fallback fuzzy title+author+year (Jaro-Winkler ≥0.92); map institutions to ROR/GRID; validate disambiguation on labeled set (n=200). RoB tools: RoB 2 for RCTs, ROBINS-I for nonrandomized, CASP/JBI for qualitative, AMSTAR2 for reviews; dual independent raters, pilot n=50, Cohen's kappa target ≥0.75, third-rater arbitration. Primary analyses: compute network metrics (degree, betweenness, eigenvector centrality), modularity and community detection, keyword co-occurrence clusters, temporal burst detection, and topic modeling (BERTopic and LDA). Normalize citations by year and field (CPPy, FWCI where available). Regression tests: negative-binomial models predicting citation counts and centrality by RoB category (mapped to numeric weights), intervention reporting completeness, OA status, journal metric (SJR), and country income; include diagnostics (overdispersion, VIF, residuals). Validation experiments/ablations: 1) RoB-weighted vs unweighted network maps; 2) with vs without gray literature; 3) disambiguation threshold sensitivity (±0.02 Jaro-Winkler) reporting precision/recall; 4) BERTopic vs LDA topic coherence (CV, UMass) and manual interpretability; 5) trial-registry to publication linkage accuracy tested against a gold-standard sample (n≥100) reporting sensitivity and specificity. Evaluation metrics: recall/precision for seed-set retrieval, disambiguation precision/recall, topic coherence scores, network modularity, normalized citation metrics (CPPy, FWCI), regression goodness-of-fit (AIC/BIC), and model diagnostics.</w:t>
      </w:r>
    </w:p>
    <w:p>
      <w:r>
        <w:t xml:space="preserve"> </w:t>
      </w:r>
    </w:p>
    <w:p>
      <w:pPr>
        <w:pStyle w:val="Heading2"/>
      </w:pPr>
      <w:r>
        <w:t>Risk Factors And Limitations</w:t>
      </w:r>
    </w:p>
    <w:p>
      <w:r>
        <w:t>1) Disambiguation errors: fuzzy matching may produce false merges (different authors merged) or false splits (same author split); validation set needed; residual errors can distort network centrality. 2) Citation inflation and duplication: multiple database citation counts and multiple versions (preprints) can inflate impact measures if canonical selection rules are imperfect. 3) RoB-to-weight mapping: converting qualitative RoB categories to numeric weights is partly arbitrary and may bias weighted metrics; robustness depends on sensitivity analyses. 4) Incomplete metadata: missing abstracts, DOIs, or affiliation details (common in older or gray records) reduce coding completeness and can exclude records. 5) Non-English translation error: machine translation may miscode intervention details; bilingual reviewer capacity limits thorough manual review. 6) Gray literature quality: gray records often lack peer review and standard metadata; weighting choices will influence results. 7) Observational limitations: bibliometrics show associations (correlation) not causal effects; centrality and citations reflect many social factors beyond study quality. 8) Topic-model limits: topic algorithms depend on abstracts; short or missing abstracts reduce topic validity. 9) Compute and reproducibility: large reference lists and cross-database merges require significant compute and careful provenance tracking; containerization mitigates but does not eliminate environment drift. 10) Generalizability: findings reflect indexed literature and included languages; underrepresented regions or unpublished trials may remain invisible.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