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barcelona_climate_shelter_access</w:t>
      </w:r>
    </w:p>
    <w:p>
      <w:r>
        <w:t xml:space="preserve"> </w:t>
      </w:r>
    </w:p>
    <w:p>
      <w:pPr>
        <w:pStyle w:val="Heading2"/>
      </w:pPr>
      <w:r>
        <w:t>Title</w:t>
      </w:r>
    </w:p>
    <w:p>
      <w:r>
        <w:t>Mobility‑justice GIS isochrone analysis of equitable access to climate shelters for vulnerable residents in Barcelona</w:t>
      </w:r>
    </w:p>
    <w:p>
      <w:r>
        <w:t xml:space="preserve"> </w:t>
      </w:r>
    </w:p>
    <w:p>
      <w:pPr>
        <w:pStyle w:val="Heading2"/>
      </w:pPr>
      <w:r>
        <w:t>Short Hypothesis</w:t>
      </w:r>
    </w:p>
    <w:p>
      <w:r>
        <w:t>Secció censal areas with high vulnerability index scores have at least a 20 percentage‑point lower share of adults aged 65+ within a 20‑minute age‑adjusted walking isochrone to the nearest climate shelter than low‑vulnerability secció censal areas.</w:t>
      </w:r>
    </w:p>
    <w:p>
      <w:r>
        <w:t xml:space="preserve"> </w:t>
      </w:r>
    </w:p>
    <w:p>
      <w:pPr>
        <w:pStyle w:val="Heading2"/>
      </w:pPr>
      <w:r>
        <w:t>Related Work</w:t>
      </w:r>
    </w:p>
    <w:p>
      <w:r>
        <w:t>Prior work on urban heat adaptation and shelter access has used spatial accessibility methods such as Euclidean buffers, gravity models, and network isochrones. Many studies compute isochrones using standard walking speeds or simple distance thresholds, and some combine socioeconomics into composite vulnerability indices. Limitations in current approaches include: (1) use of Euclidean buffers or uninformed walking speeds that overestimate access for older adults and mobility‑restricted groups; (2) limited incorporation of temporal accessibility (time of day, transit schedules) and shelter operating windows; (3) few studies integrate shelter capacity constraints or account for multimodal trips (walking + transit) under real schedules; (4) inadequate validation against empirical travel times or health outcomes (ED/ambulance data); (5) sparse treatment of undocumented or hard‑to‑count populations; and (6) little application of mobility‑justice frameworks that weight access by intersectional vulnerability. These gaps reduce the ability to identify where shelter siting or operational changes would most improve equity.</w:t>
      </w:r>
    </w:p>
    <w:p>
      <w:r>
        <w:t xml:space="preserve"> </w:t>
      </w:r>
    </w:p>
    <w:p>
      <w:pPr>
        <w:pStyle w:val="Heading2"/>
      </w:pPr>
      <w:r>
        <w:t>Abstract</w:t>
      </w:r>
    </w:p>
    <w:p>
      <w:r>
        <w:t>This study evaluates whether Barcelona’s network of climate shelters provides equitable access to vulnerable residents by combining a mobility‑justice framework with GIS network isochrone analysis. We compute walking and multimodal isochrones using OpenStreetMap pedestrian networks, GTFS transit schedules, and a friction surface that reduces walking speed for older adults and mobility‑restricted groups. We construct a vulnerability index composed of age (65+), income, migrant status, disability proxies, living alone, and housing crowding, and produce Vulnerability‑Weighted Accessibility Scores (VWAS) at secció censal resolution. Main contributions are: (1) age‑adjusted, capacity‑aware isochrone accessibility metrics; (2) quantified equity gaps and spatial hotspots of unmet need; and (3) validation against GPS travel times and heat‑related ED/ambulance counts. Expected outcomes include reproducible maps and numeric metrics that identify neighborhoods with systematically lower access for vulnerable groups and evidence to guide targeted shelter upgrades or mobile shelter deployments.</w:t>
      </w:r>
    </w:p>
    <w:p>
      <w:r>
        <w:t xml:space="preserve"> </w:t>
      </w:r>
    </w:p>
    <w:p>
      <w:pPr>
        <w:pStyle w:val="Heading2"/>
      </w:pPr>
      <w:r>
        <w:t>Experiments</w:t>
      </w:r>
    </w:p>
    <w:p>
      <w:r>
        <w:t>Datasets: (1) Shelter locations and attributes from Ajuntament de Barcelona Dades Obertes (point geometry, capacity fields if available); (2) population and socioeconomic variables at secció censal from Padró and Idescat/INE; (3) pedestrian network from OpenStreetMap (OSM) and municipal street layers; (4) GTFS snapshots from TMB/EMT/ATM for transit schedules; (5) DEM (5–10 m) for slope; (6) Landsat/Copernicus LST for heat exposure; (7) ASPB ED and ambulance dispatch logs (ICD/dispatch codes) for validation; (8) NGO service logs for undocumented population estimation. Baselines: (A) Euclidean 500 m buffer coverage; (B) standard network isochrone at 1.4 m/s walking speed (no age adjustment); (C) network isochrone with standard speed plus transit (no capacity constraints). Main method: compute network isochrones with reduced walking speeds (age multipliers 0.6, 0.75, 0.9) and multimodal routing (OpenTripPlanner), generate VWAS per secció censal by weighting population counts by vulnerability index. Evaluate shelter capacity by capping served population by reported/estimated shelter slots. Metrics: percent of vulnerable residents within 10/20/30 minute thresholds; VWAS mean and Gini (inequality); equity gap = difference in coverage between top and bottom vulnerability quintiles; travel‑time MAE and R² vs GPS holdout (n≥200 routes); Bayesian hierarchical incidence rate ratio (IRR) for ED/ambulance counts (lag windows 0–7 days), with 95% credible intervals. Experimental setup: run sensitivity analysis with 1,000 Monte Carlo draws sampling vulnerability index weights and friction parameters; run a fractional factorial sweep over walking thresholds (10,15,20,25,30), multimodal thresholds (15–45 step 5), capacity caps (5,10,15,20,30%). Ablation studies: (1) remove age adjustment (compare reduced vs standard walking speed) to measure change in vulnerable coverage; (2) remove capacity constraints to measure over‑estimation of service; (3) compare results using Euclidean buffer vs network isochrone. Health validation: fit Bayesian hierarchical Poisson/negative‑binomial models of weekly ED counts at cluster level controlling for temperature, humidity, AQI, day‑of‑week, holiday indicators, long‑term trend, AC prevalence proxy, and test RR_shelter association with shelter accessibility metrics. Report all code in containerized pipeline; use reproducible config files for parameter sweeps.</w:t>
      </w:r>
    </w:p>
    <w:p>
      <w:r>
        <w:t xml:space="preserve"> </w:t>
      </w:r>
    </w:p>
    <w:p>
      <w:pPr>
        <w:pStyle w:val="Heading2"/>
      </w:pPr>
      <w:r>
        <w:t>Risk Factors And Limitations</w:t>
      </w:r>
    </w:p>
    <w:p>
      <w:r>
        <w:t>Data availability: delayed or restricted access to ED/ambulance logs, GTFS snapshots, or complete shelter capacity fields will limit validation and capacity analyses. Undercounts: undocumented residents and underreported household characteristics will bias vulnerability estimates. Friction mis‑specification: incorrect slope, surface, or walking‑speed multipliers can misestimate travel times. Spillovers: cross‑cluster travel and nonlocal shelter use can violate causal assumptions and bias pilot inferences. Differential privacy: noise added for privacy may degrade small‑area utility and hide true hotspots. Low event counts: heat‑related ED events may be rare at cluster scale, reducing power for health effect estimation. Licensing: OSM ODbL constraints may restrict public redistribution of derived routing tiles. Compute cost: large sensitivity sweeps and Monte Carlo runs may be compute‑intensive. Generalizability: methods and thresholds calibrated to Barcelona may not transfer directly to other cities with different urban form, transit, or social structures.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