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islam_comparative_aesthetics</w:t>
      </w:r>
    </w:p>
    <w:p>
      <w:r>
        <w:t xml:space="preserve"> </w:t>
      </w:r>
    </w:p>
    <w:p>
      <w:pPr>
        <w:pStyle w:val="Heading2"/>
      </w:pPr>
      <w:r>
        <w:t>Title</w:t>
      </w:r>
    </w:p>
    <w:p>
      <w:r>
        <w:t>Multimodal computational and TEI/SKOS-based comparative analysis to detect aesthetic codes of comparativeness in Islamic texts and images from Morocco and Indonesia</w:t>
      </w:r>
    </w:p>
    <w:p>
      <w:r>
        <w:t xml:space="preserve"> </w:t>
      </w:r>
    </w:p>
    <w:p>
      <w:pPr>
        <w:pStyle w:val="Heading2"/>
      </w:pPr>
      <w:r>
        <w:t>Short Hypothesis</w:t>
      </w:r>
    </w:p>
    <w:p>
      <w:r>
        <w:t>A multimodal pipeline that combines a TEI/SKOS-annotated corpus, OCR-normalized historical text, and joint text-image models will produce higher per-class detection F1 scores for comparative rhetorical devices (e.g., tashbīh, muqārana) than text-only or image-only baselines on the same manuscript set.</w:t>
      </w:r>
    </w:p>
    <w:p>
      <w:r>
        <w:t xml:space="preserve"> </w:t>
      </w:r>
    </w:p>
    <w:p>
      <w:pPr>
        <w:pStyle w:val="Heading2"/>
      </w:pPr>
      <w:r>
        <w:t>Related Work</w:t>
      </w:r>
    </w:p>
    <w:p>
      <w:r>
        <w:t>Previous work spans digital humanities encoding (TEI, IIIF), controlled vocabularies (SKOS) and repository practices, computational Arabic-script OCR and normalization, NLP for rhetorical/figurative device detection, and multimodal embedding methods (contrastive image-text models). Limitations: TEI/IIIF practice rarely provides tightly coupled, device-level text-image ground truth for historical Islamic manuscripts; SKOS vocabularies exist but are not consistently mapped to manuscript device annotation; OCR systems for historical Arabic/Persian/Ottoman hands show high error rates and poor downstream NLP readiness; transformer models and CLIP-style multimodal methods are pretrained on modern web corpora and do not reliably capture historical scripts, specialized rhetorical devices, or fine-grained region grounding; annotation studies often report corpus-level agreement only and lack per-class inter-annotator metrics and adjudication logs. These gaps produce weak baselines for detecting aesthetic comparativeness and limit reproducible evaluation of multimodal grounding.</w:t>
      </w:r>
    </w:p>
    <w:p>
      <w:r>
        <w:t xml:space="preserve"> </w:t>
      </w:r>
    </w:p>
    <w:p>
      <w:pPr>
        <w:pStyle w:val="Heading2"/>
      </w:pPr>
      <w:r>
        <w:t>Abstract</w:t>
      </w:r>
    </w:p>
    <w:p>
      <w:r>
        <w:t>We address the challenge of detecting and grounding aesthetic comparativeness—specific rhetorical and perceptual devices such as simile, metaphor, and muqārana—in historical Islamic manuscripts and associated images from Morocco and Indonesia. Our approach combines three elements: (1) interoperable TEI extension and SKOS-controlled vocabulary that encode device type and axis (ontological, epistemic, perceptual); (2) a multimodal corpus of OCR-normalized text, IIIF-linked images, and provenance metadata; and (3) supervised multimodal models that fuse contextual language representations with image region embeddings to detect device instances and align them to image regions. The main contribution is a reproducible pilot deliverable: annotated exemplars, a SKOS glossary with canonical URIs, and baseline multimodal pipelines with per-class evaluation. Expected outcomes include improved per-class detection metrics over text-only baselines, region-level grounding accuracy for text-image pairs, and a set of standardized artifacts (TEI examples, SKOS file, annotation logs) for future comparative and world-literature studies.</w:t>
      </w:r>
    </w:p>
    <w:p>
      <w:r>
        <w:t xml:space="preserve"> </w:t>
      </w:r>
    </w:p>
    <w:p>
      <w:pPr>
        <w:pStyle w:val="Heading2"/>
      </w:pPr>
      <w:r>
        <w:t>Experiments</w:t>
      </w:r>
    </w:p>
    <w:p>
      <w:r>
        <w:t>Datasets: Pilot dataset of 10 manuscripts (diverse genres), ~200 high-resolution images, 5,000 annotated device instances (target), OCR line-pairs 20k–50k for training; supplemental fallback corpora from digitized repositories for augmentation. Data splits: 70% train / 15% validation / 15% test, stratified by device class and manuscript. Baselines: (A) text-only classifier (AraBERTv2 fine-tuned for sequence tagging); (B) classical CRF/span model for boundary detection; (C) image-only classifier for motif presence; (D) keyword/lexicon heuristic. Multimodal models: (1) CLIP-style contrastive model with ViT image encoder and AraBERT text encoder projecting to shared 768-d embedding space; temperature hyperparameter = 0.07; batch size 256; negative sampling: within-page hard negatives + random corpus negatives. (2) Region-grounding model using DETR-style object detector / DenseCap to predict bounding regions paired with text spans, trained with contrastive and region IoU losses. OCR and normalization: Kraken-trained historical models and Tesseract baseline; Buckwalter normalization + Farasa morphological tags for pipeline input. Evaluation metrics: per-class precision, recall, F1; macro and micro F1; Cohen's kappa for inter-annotator agreement per class; OCR metrics: CER (character error rate) and WER (word error rate); multimodal retrieval: Recall@K (K=1,5,10), mAP, nDCG; grounding: region IoU measured at thresholds 0.3 and 0.5 with IoU = intersection-over-union between predicted and ground-truth regions. Human evaluation: alignment accuracy and adjudicator agreement (target human agreement reported). Experimental setup: train text-only and multimodal models with identical train/val/test splits; perform 5-fold cross-validation on training for hyperparameter tuning; compute confusion matrices and calibration curves per class. Ablations: (i) text-only vs multimodal; (ii) multimodal with clean OCR vs noisy OCR (simulated CER levels); (iii) contrastive pretraining on general corpora vs domain-adaptive fine-tuning on manuscript pairs; (iv) negative sampling hard vs random; (v) region-grounding enabled vs global-image alignment. Acceptance criteria: multimodal model must improve target per-class F1 by a measurable margin over text-only baseline on test set and achieve grounding Recall@1 &gt;= 0.70 on curated ground-truth pairs.</w:t>
      </w:r>
    </w:p>
    <w:p>
      <w:r>
        <w:t xml:space="preserve"> </w:t>
      </w:r>
    </w:p>
    <w:p>
      <w:pPr>
        <w:pStyle w:val="Heading2"/>
      </w:pPr>
      <w:r>
        <w:t>Risk Factors And Limitations</w:t>
      </w:r>
    </w:p>
    <w:p>
      <w:r>
        <w:t>Access and rights: permission denials or long delays for manuscript images will reduce sample diversity. OCR failure modes: high CER/WER on historical hands may corrupt training labels and reduce NLP performance. Annotation quality: low inter-annotator agreement, especially for rare device classes, limits classifier reliability; per-class sample imbalance will cause weak performance on rare labels. Model generalization: models trained on Morocco/Indonesia pilot may not generalize to other regions, periods, or languages (domain shift). Compute and storage limits: training multimodal models and OCR systems requires significant GPU hours and storage; insufficient resources constrain model scale. Cultural and ethical constraints: some images/texts may be culturally sensitive, restricting public release and reproducibility. Grounding ambiguity: mapping abstract rhetorical devices to precise image regions can be inherently subjective and produce noisy region labels. Evaluation bias: curated pilot sets may overrepresent well-documented manuscripts, biasing reported metrics upward and limiting claims about wider populations.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