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Ethnographic and participatory-biosensing assessment of how informal shading practices affect thermal comfort and surface-air temperatures in an urban retail district in Cuiabá, Brazil</w:t>
      </w:r>
    </w:p>
    <w:p>
      <w:r>
        <w:t xml:space="preserve"> </w:t>
      </w:r>
    </w:p>
    <w:p>
      <w:pPr>
        <w:pStyle w:val="Heading2"/>
      </w:pPr>
      <w:r>
        <w:t>Short Hypothesis</w:t>
      </w:r>
    </w:p>
    <w:p>
      <w:r>
        <w:t>Informal street-level shading reduces mean daytime air temperature at 1.5 m and mean radiant temperature (MRT) by at least 0.5°C between 14:00–17:00 compared to matched unshaded control sites, producing higher reported thermal comfort scores among users.</w:t>
      </w:r>
    </w:p>
    <w:p>
      <w:r>
        <w:t xml:space="preserve"> </w:t>
      </w:r>
    </w:p>
    <w:p>
      <w:pPr>
        <w:pStyle w:val="Heading2"/>
      </w:pPr>
      <w:r>
        <w:t>Related Work</w:t>
      </w:r>
    </w:p>
    <w:p>
      <w:r>
        <w:t>Prior work measures shading and cooling effects using remote sensing, fixed meteorological sensors, and urban canopy models, and separately uses ethnography or participatory sensing to document social practices. Remote-sensing studies often analyze rooftop or broad-surface temperatures and lack street-scale paired controls. Fixed-station urban climate work provides continuous time series but frequently omits social context and subjective comfort data. Participatory sensing and wearable-biosensing studies capture individual thermal responses but rarely integrate calibrated surface emissivity corrections or UAV thermal orthomosaics. Ethnographic urban research documents informal adaptations (canopies, tarps) but typically does not quantify microclimate effects. Limitations across existing approaches include: (1) weak integration of social practice data with rigorously calibrated thermal measurements; (2) insufficient paired or pre-registered causal designs that account for temporal and spatial autocorrelation; (3) limited propagation of instrument and material-parameter uncertainty into effect estimates; and (4) lack of explicit geoprivacy and IRB-ready imaging protocols for public markets and vendors.</w:t>
      </w:r>
    </w:p>
    <w:p>
      <w:r>
        <w:t xml:space="preserve"> </w:t>
      </w:r>
    </w:p>
    <w:p>
      <w:pPr>
        <w:pStyle w:val="Heading2"/>
      </w:pPr>
      <w:r>
        <w:t>Abstract</w:t>
      </w:r>
    </w:p>
    <w:p>
      <w:r>
        <w:t>This study investigates whether informal shading practices in a hot Brazilian city centre alter street-level thermalscapes and consumer thermal comfort. We combine ethnographic observation, participatory biosensing (wearable skin temperature and subjective comfort surveys), calibrated ground sensors (aspirated air temperature/humidity, globe/MRT, surface thermistors), and UAV thermal imagery to create paired comparisons of shaded versus matched unshaded retail micro-sites. The main contribution is an integrated, auditable pipeline that links lived shading practices to measurable cooling effects while propagating sensor, UAV radiometric, and material-parameter uncertainty into causal estimates. We implement pre-registered difference-in-differences and mixed-effects models with spatial random effects and temporal autocorrelation to test specified effect sizes and compute minimal detectable differences. Expected outcomes include quantified cooling magnitudes for common informal shading typologies, estimates of associated changes in thermal comfort, and operational protocols (sampling, QA/QC, ethics) for community-shared outputs. Results will inform local adaptation strategies in hot tropical retail cores and provide reproducible methods for combining social and thermal data.</w:t>
      </w:r>
    </w:p>
    <w:p>
      <w:r>
        <w:t xml:space="preserve"> </w:t>
      </w:r>
    </w:p>
    <w:p>
      <w:pPr>
        <w:pStyle w:val="Heading2"/>
      </w:pPr>
      <w:r>
        <w:t>Experiments</w:t>
      </w:r>
    </w:p>
    <w:p>
      <w:r>
        <w:t>Datasets: (1) Field sensor time series from 40 paired sites (shaded vs matched unshaded) stratified across 4 shading typologies; sensors: aspirated air T/H at 1.5 m, globe thermometer/MRT at 1.1–1.5 m, contact surface thermistors, net radiometer/pyranometer stacks (above/below shade); sampling interval 1–5 minutes; continuous deployment 14–28 days per temporal replicate with 3 temporal replicates. (2) UAV radiometric thermal orthomosaics synchronized to field times (mid-morning, late-afternoon) with in-scene calibration panels and RTK GNSS metadata. (3) Participatory biosensing: wearable skin temperature patches and short subjective thermal comfort surveys (7-point scale) from consenting vendors/customers (sample n≥200 observations). (4) Ethnographic logs and participatory shading maps. Baselines: matched unshaded sites, pre-treatment periods, and models without ethnographic covariates. Evaluation metrics: mean daytime air temperature difference ΔT (°C), MRT difference ΔMRT (°C) where MRT = mean radiant temperature (the combined effect of radiant heat on a person), PET or UTCI change (°C equivalent), change in subjective comfort score (points), RMSE and mean bias of UAV vs contact measurements, 95% posterior credible intervals for treatment effect, and minimal detectable difference (MDD) tables for 0.2/0.5/1.0°C. Experimental setup: pre-register primary outcome (ΔT at 14:00–17:00 measured at 1.5 m), primary window (14:00–17:00), and primary test (paired DID with pair and time fixed effects). Fit linear mixed-effects models: Y_ipt = α + β·Treatment_ipt + γ_t + δ_p + (1|pair) + ε_ipt with ε modeled as AR(1). Include spatial random effect via Gaussian Markov Random Field (GMRF) on site locations to capture spatial dependence. Perform power and MDD simulations across Npairs ∈ {8,16,32,40,80}, days ∈ {14,28,56}, and AR(1) phi ∈ {0.7,0.8,0.9,0.95} using pilot SDs (air SD=0.6–1.2°C, surface SD=1.5–3.0°C). Comparisons/ablations: (A) full pipeline vs ablation removing UAV emissivity corrections to quantify bias; (B) models with vs without ethnographic covariates to measure confounder control; (C) mixed-effects DID vs Bayesian hierarchical model that propagates sensor and UAV calibration uncertainty. Report MDD tables, power curves, posterior distributions, and RMSE/bias diagnostics. All code and containerized notebooks will reproduce simulations, model fits, and MDD calculations.</w:t>
      </w:r>
    </w:p>
    <w:p>
      <w:r>
        <w:t xml:space="preserve"> </w:t>
      </w:r>
    </w:p>
    <w:p>
      <w:pPr>
        <w:pStyle w:val="Heading2"/>
      </w:pPr>
      <w:r>
        <w:t>Risk Factors And Limitations</w:t>
      </w:r>
    </w:p>
    <w:p>
      <w:r>
        <w:t>Technical failures: sensor drift, calibration errors, UAV radiometric bias, or data loss from theft/vandalism may reduce usable sample size. Data biases: non-random pair selection or vendor participation refusal may produce sampling bias and limit representativeness. Small effect sizes: true cooling may be &lt;0.5°C and under power for planned Npairs/days. Spatial dependence: residual spatial autocorrelation or cross-site spillovers could invalidate simple independence assumptions. Ethical and privacy limits: UAV or TIR/RGB imagery may capture people; consent refusals and geoprivacy constraints may reduce spatial resolution of public outputs. Generalization limits: findings from Cuiabá’s climate, street geometry, and vendor practices may not transfer to other cities or seasons. Compute and scale: hierarchical Bayesian uncertainty propagation and large ensemble simulations require moderate compute resources and time. Evaluation limits: subjective comfort responses are context-dependent and may not map linearly to objective temperature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