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winery_resilience_wrs</w:t>
      </w:r>
    </w:p>
    <w:p>
      <w:r>
        <w:t xml:space="preserve"> </w:t>
      </w:r>
    </w:p>
    <w:p>
      <w:pPr>
        <w:pStyle w:val="Heading2"/>
      </w:pPr>
      <w:r>
        <w:t>Title</w:t>
      </w:r>
    </w:p>
    <w:p>
      <w:r>
        <w:t>Quantifying how internal attributes and perceived challenges shape robustness, adaptability, and transformability in Spanish wineries using hybrid weighting and OLS analysis</w:t>
      </w:r>
    </w:p>
    <w:p>
      <w:r>
        <w:t xml:space="preserve"> </w:t>
      </w:r>
    </w:p>
    <w:p>
      <w:pPr>
        <w:pStyle w:val="Heading2"/>
      </w:pPr>
      <w:r>
        <w:t>Short Hypothesis</w:t>
      </w:r>
    </w:p>
    <w:p>
      <w:r>
        <w:t>Higher firm rural commitment increases transformability scores under greater environmental challenges, controlling for size, organizational form, innovation and other internal attributes.</w:t>
      </w:r>
    </w:p>
    <w:p>
      <w:r>
        <w:t xml:space="preserve"> </w:t>
      </w:r>
    </w:p>
    <w:p>
      <w:pPr>
        <w:pStyle w:val="Heading2"/>
      </w:pPr>
      <w:r>
        <w:t>Related Work</w:t>
      </w:r>
    </w:p>
    <w:p>
      <w:r>
        <w:t>Existing work on firm and regional resilience often builds composite resilience indices using data-driven methods (PCA), expert weighting (AHP/Delphi), or simple additive scores. Other studies estimate resilience correlates with OLS or panel regressions, and some use agent-based or spatial models for propagation of shocks. Limitations in prior approaches include: ad-hoc or opaque weighting schemes without uncertainty quantification; weak integration of operational viticulture variables (seasonal labor, mechanization, inventory); poor treatment of compositional sales shares (bulk/bottled/DTC/tourism); limited handling of missing-not-at-random (MNAR) financial nonresponse; lack of rigorous out-of-sample validation against observed outcomes (time-to-recovery, insolvency); and insufficient spatially-explicit privacy controls. Few studies fuse expert priors and data structure in a formal Bayesian latent-variable model while validating indices against firm-level failure and recovery metrics.</w:t>
      </w:r>
    </w:p>
    <w:p>
      <w:r>
        <w:t xml:space="preserve"> </w:t>
      </w:r>
    </w:p>
    <w:p>
      <w:pPr>
        <w:pStyle w:val="Heading2"/>
      </w:pPr>
      <w:r>
        <w:t>Abstract</w:t>
      </w:r>
    </w:p>
    <w:p>
      <w:r>
        <w:t>This study tests how internal attributes (size, structure, innovation, rural commitment, operational typologies) interact with perceived economic, environmental and social challenges to determine three resilience capacities—robustness, adaptability, and transformability—in Spanish wineries. We construct a Winery Resilience Score (WRS) by comparing three weighting approaches: PCA-only (data-driven), AHP-only (expert weights), and a Bayesian hierarchical latent-variable fusion that propagates uncertainty. We link WRS and indicator-level measures to observed outcomes (time-to-recovery in months, one-year insolvency, realized revenue loss) using ordinary least squares (OLS) with interaction terms and validate predictive performance via cross-validation and ROC/AUC. We also compare compositional treatments for sales shares and evaluate missing-data assumptions including MNAR sensitivity models. The main contribution is a reproducible, uncertainty-aware measurement and inference pipeline that integrates operational variables, spatial covariates, and explicit validation against firm-level outcomes to support evidence-based strategies for rural agro-industries.</w:t>
      </w:r>
    </w:p>
    <w:p>
      <w:r>
        <w:t xml:space="preserve"> </w:t>
      </w:r>
    </w:p>
    <w:p>
      <w:pPr>
        <w:pStyle w:val="Heading2"/>
      </w:pPr>
      <w:r>
        <w:t>Experiments</w:t>
      </w:r>
    </w:p>
    <w:p>
      <w:r>
        <w:t>Datasets: (1) Primary survey of 411 Spanish wineries with indicators for size, ownership, innovation, rural_commitment, perceived challenges (economic, environmental, social), operational variables (seasonal_labor_dependence, inventory_days, mechanization), and sales shares (bulk, bottled, DTC, tourism); (2) Administrative records: insolvency events and revenue panels (pre- and post-shock quarters); (3) Spatial covariates: regional SPEI drought index, transport disruption flags, tourism exposure; (4) Pilot psychometric sample (n=30-50). Baselines: (A) PCA-only WRS (z-scored indicators, polychoric for ordinal); (B) AHP-only WRS (normalized 1–9 Saaty weights); (C) equal-weight additive index; (D) indicator-level OLS without WRS. Primary models: OLS regressions for each resilience dimension (robustness, adaptability, transformability) of form Y_i = β0 + β1*WRS_i + β2*challenge_i + β3*(rural_commitment_i * environmental_challenge_i) + β4*controls + ε_i, with clustered SEs by region. Validation: stratified 10-fold cross-validation by region and size; region holdout (leave-one-region-out). Outcomes &amp; metrics: binary insolvency — ROC/AUC, precision@k, calibration plots; continuous time-to-recovery and revenue loss — RMSE, MAE, Spearman rank correlation; model fit for Bayesian fusion — WAIC and LOO, posterior predictive checks. Ablations: (1) weighting comparison (PCA vs AHP vs Bayesian fusion); (2) remove operational variables (test contribution of viticulture metrics); (3) compositional methods for sales shares: additive log-ratio (ALR), centered log-ratio (CLR), and Dirichlet regression; (4) missing-data strategies: MICE under MAR, pattern-mixture and selection models for MNAR; (5) instrument checks: include/exclude SPEI and transport shocks in IV/robustness tests. Preprocessing and evaluation: multiple imputation for ≤20% missing; sensitivity runs for 20–50% and &gt;50% flagged variables. Report pre-registered statistics, effect sizes, confidence intervals, and decision thresholds.</w:t>
      </w:r>
    </w:p>
    <w:p>
      <w:r>
        <w:t xml:space="preserve"> </w:t>
      </w:r>
    </w:p>
    <w:p>
      <w:pPr>
        <w:pStyle w:val="Heading2"/>
      </w:pPr>
      <w:r>
        <w:t>Risk Factors And Limitations</w:t>
      </w:r>
    </w:p>
    <w:p>
      <w:r>
        <w:t>1) Missing data bias: key financial or failure indicators may be MNAR (e.g., failing firms omit financials), producing biased estimates if MNAR is not correctly modeled. 2) Weight fusion validity: mapping AHP expert weights to data-driven scales risks arbitrary rescaling; Bayesian melding may still be sensitive to expert inconsistency. 3) Identifiability: six latent constructs risk collinearity and weakly identified loadings in hierarchical HMC models, causing unstable posteriors. 4) Compositional data issues: sales shares include zeros/ones; ALR/CLR or Dirichlet choices affect inference and may mis-handle boundary values. 5) Instrument validity: SPEI and transport shocks may violate exclusion restrictions locally, weakening causal claims. 6) Sample size and subgroup power: n≈411 may be underpowered for fine-grained subgroup interactions (small cooperative × region) and latent-score precision. 7) Spatial privacy constraints: coarsening to protect identities reduces spatial resolution and may hide local heterogeneity. 8) Computational limits: Bayesian HMC fusion and ABM calibration are compute-intensive and may require parallel resources; long runtimes could limit sensitivity analyses. 9) External validity: results from Spanish DO-region wineries may not generalize to other crops, countries, or non-winery agro-industries.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