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fruit_vouchers_rct_nigeria_vietnam</w:t>
      </w:r>
    </w:p>
    <w:p>
      <w:r>
        <w:t xml:space="preserve"> </w:t>
      </w:r>
    </w:p>
    <w:p>
      <w:pPr>
        <w:pStyle w:val="Heading2"/>
      </w:pPr>
      <w:r>
        <w:t>Title</w:t>
      </w:r>
    </w:p>
    <w:p>
      <w:r>
        <w:t>A randomized controlled trial testing the effect of fruit vouchers on fruit affordability and household fruit consumption in peri-urban and urban areas of Nigeria and Vietnam</w:t>
      </w:r>
    </w:p>
    <w:p>
      <w:r>
        <w:t xml:space="preserve"> </w:t>
      </w:r>
    </w:p>
    <w:p>
      <w:pPr>
        <w:pStyle w:val="Heading2"/>
      </w:pPr>
      <w:r>
        <w:t>Short Hypothesis</w:t>
      </w:r>
    </w:p>
    <w:p>
      <w:r>
        <w:t>Providing monthly fruit vouchers to households causes an increase in mean daily fruit intake (grams/day) relative to households that do not receive vouchers.</w:t>
      </w:r>
    </w:p>
    <w:p>
      <w:r>
        <w:t xml:space="preserve"> </w:t>
      </w:r>
    </w:p>
    <w:p>
      <w:pPr>
        <w:pStyle w:val="Heading2"/>
      </w:pPr>
      <w:r>
        <w:t>Related Work</w:t>
      </w:r>
    </w:p>
    <w:p>
      <w:r>
        <w:t>Prior approaches to improving diet in low- and middle-income countries include price subsidies, cash transfers, food voucher programs, and market-based supply interventions. Existing studies show that lowering effective prices or giving purchasing power can raise consumption of targeted foods, but evidence is concentrated in a few countries and often lacks biomarker validation. Common weaknesses in prior work are: reliance on self-reported consumption without biological markers, limited attention to supply-side effects (price pass-through, merchant behavior), sparse handling of spatial spillovers between treated and control areas, few rigorous fraud-control comparisons for voucher delivery, and incomplete cost-effectiveness analyses that include administrative and beneficiary opportunity costs. Measurement issues such as within-person dietary variation and attenuation bias are often under-addressed. Instrumental-variable identification for supply shocks is under-tested, and merchant selection or market concentration effects are frequently not modeled.</w:t>
      </w:r>
    </w:p>
    <w:p>
      <w:r>
        <w:t xml:space="preserve"> </w:t>
      </w:r>
    </w:p>
    <w:p>
      <w:pPr>
        <w:pStyle w:val="Heading2"/>
      </w:pPr>
      <w:r>
        <w:t>Abstract</w:t>
      </w:r>
    </w:p>
    <w:p>
      <w:r>
        <w:t>Fruit is often unaffordable for low-income urban and peri-urban households in Nigeria and Vietnam. We propose a randomized controlled trial that distributes fruit vouchers to test whether lowering the effective price raises fruit affordability and increases household fruit consumption. The main experimental contrast compares households receiving vouchers to control households, with secondary contrasts across voucher value and delivery modes. Primary outcomes combine dietary intake (mean daily fruit grams from non-consecutive 24-hour recalls) and a co-primary biomarker (dried blood spot carotenoids). The study also collects high-frequency market prices, merchant redemption logs, and geo-referenced supply shocks to estimate price pass-through and welfare. Main contributions are: (1) causal estimates of voucher effects on consumption and biomarkers; (2) quantified retail price responses and merchant behavior under voucher incentives; and (3) probabilistic cost-effectiveness for scale scenarios. Expected impact is rigorous, policy-relevant evidence on whether vouchers improve fruit intake and how market dynamics affect outcomes.</w:t>
      </w:r>
    </w:p>
    <w:p>
      <w:r>
        <w:t xml:space="preserve"> </w:t>
      </w:r>
    </w:p>
    <w:p>
      <w:pPr>
        <w:pStyle w:val="Heading2"/>
      </w:pPr>
      <w:r>
        <w:t>Experiments</w:t>
      </w:r>
    </w:p>
    <w:p>
      <w:r>
        <w:t>Datasets: household panel surveys with baseline and endline modules including two non-consecutive 24-hour dietary recalls per round (recall = detailed report of foods consumed in past 24 hours), socioeconomic modules, and GPS coordinates; biomarker subsample of dried blood spot (DBS) carotenoids and inflammation markers (CRP, AGP); weekly sentinel market price panel by fruit type; merchant panel with daily redemption logs and prices; satellite NDVI and local weather/transport disruption records. Arms and baselines: (A) control (no voucher), (B) low-value monthly fruit voucher, (C) high-value monthly fruit voucher, (D) voucher + small supply pilot (e.g., aggregation/cold storage). Additional factorial contrast: e-voucher delivery vs paper-to-digital hybrid redemption. Sample sizes and clustering: cluster randomization at market/catchment level, target 40–60 households per cluster, 30–60 clusters per arm; biomarker subsample ~300–500 participants per country (≈10–12 per cluster). Evaluation metrics: primary — mean daily fruit grams (continuous); co-primary — standardized DBS carotenoid concentration; secondary — servings/day, variety count, fruit expenditure share, MDD-W (diet diversity), anthropometry (BMI, child growth z-scores), retail price change (local market level), cost per additional serving. Analysis setup: intent-to-treat (ITT) via linear mixed-effects models with random intercepts for cluster (market) and household where relevant; adjust for baseline outcome and pre-specified covariates (age, sex, household size, income quintile, urban/rural, season fixed effects). Multiple-testing: Romano-Wolf procedure for primary family. Clustering inference: use cluster-robust SEs and wild cluster bootstrap when cluster count is small. Spillover analysis: concentric-distance exposure models and spatial IVs (distance to nearest treated market, timing of harvest shocks). Pass-through estimation: panel regressions of retail price on voucher density and exogenous supply instruments; report first-stage F-statistics and overidentification diagnostics. Measurement validation and attenuation correction: validation subsample with repeated recalls (≥6 recalls or short FFQ calibration) to estimate within-person variance and apply regression calibration (a measurement-error correction method). Ablation studies: (1) compare e-voucher vs paper-to-digital on redemption rates and fraud metrics; (2) compare low vs high voucher value for dose-response; (3) compare voucher-only vs voucher+supply pilot to isolate supply constraints. Missing data: multiple imputation with rich auxiliaries and inverse-probability weighting for attrition; pre-registered sensitivity (bounds) for MNAR (missing not at random). Outcome reporting: provide ITT estimates, per-protocol estimates, and cost-effectiveness decomposition (admin costs, voucher value, pass-through).</w:t>
      </w:r>
    </w:p>
    <w:p>
      <w:r>
        <w:t xml:space="preserve"> </w:t>
      </w:r>
    </w:p>
    <w:p>
      <w:pPr>
        <w:pStyle w:val="Heading2"/>
      </w:pPr>
      <w:r>
        <w:t>Risk Factors And Limitations</w:t>
      </w:r>
    </w:p>
    <w:p>
      <w:r>
        <w:t>Measurement error: 24-hour recalls have within-person variability that can attenuate effect estimates; validation subsample helps but residual attenuation may remain. Biomarker confounding: DBS carotenoids reflect other dietary fats, supplements, inflammation, and adiposity and are not fully specific to fruit intake; inflammation markers and anthropometry reduce but do not eliminate confounding. Supply-side responses: merchants may change prices (pass-through) or withdraw participation; selection of merchants can bias estimates of market effects. Fraud and leakage: voucher resale, forged redemptions, or collusion can bias program impact and cost-effectiveness. Spatial spillovers: movement of buyers across market catchments can contaminate control areas, reducing measured effects. Instrument validity: NDVI and transport shocks may violate exclusion if they affect demand or correlated services; weak instruments reduce identification power (weak first-stage). Power limits: if voucher pass-through is low or variance is larger than priors, study may be underpowered to detect small changes. Attrition and biospecimen non-consent: differential dropout or refusal for blood spots can bias biomarker comparisons. Generalizability: results from selected peri-urban and urban clusters may not extend to rural or other country contexts. Operational risks: mobile/internet outages, payment platform failures, and regulatory constraints on mobile payments or biosample export can delay or limit implementation.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