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aging_workforce_osh_wspi_study</w:t>
      </w:r>
    </w:p>
    <w:p>
      <w:r>
        <w:t xml:space="preserve"> </w:t>
      </w:r>
    </w:p>
    <w:p>
      <w:pPr>
        <w:pStyle w:val="Heading2"/>
      </w:pPr>
      <w:r>
        <w:t>Title</w:t>
      </w:r>
    </w:p>
    <w:p>
      <w:r>
        <w:t>A stepped-wedge cluster randomized exploratory questionnaire and sensor-based study of occupational safety and health interventions and their impact on productivity and performance in an ageing workforce</w:t>
      </w:r>
    </w:p>
    <w:p>
      <w:r>
        <w:t xml:space="preserve"> </w:t>
      </w:r>
    </w:p>
    <w:p>
      <w:pPr>
        <w:pStyle w:val="Heading2"/>
      </w:pPr>
      <w:r>
        <w:t>Short Hypothesis</w:t>
      </w:r>
    </w:p>
    <w:p>
      <w:r>
        <w:t>Implementing workplace occupational safety and health (OSH) interventions causes a greater 12-month improvement in the Work Safety-Productivity Index (WSPI) compared to usual practice in an ageing workforce.</w:t>
      </w:r>
    </w:p>
    <w:p>
      <w:r>
        <w:t xml:space="preserve"> </w:t>
      </w:r>
    </w:p>
    <w:p>
      <w:pPr>
        <w:pStyle w:val="Heading2"/>
      </w:pPr>
      <w:r>
        <w:t>Related Work</w:t>
      </w:r>
    </w:p>
    <w:p>
      <w:r>
        <w:t>Existing research on workplace OSH interventions uses three main approaches: (1) questionnaire-based studies that measure self-reported musculoskeletal symptoms and work functioning, (2) productivity analyses that rely on administrative throughput or error logs, and (3) small sensor studies that measure posture or muscle activity in controlled tasks. Limitations across these approaches include weak integration of safety and productivity outcomes into a single, employer-relevant endpoint; limited attention to older workers (few studies stratify by age or tailor interventions); short follow-up windows that miss medium-term effects; inadequate handling of cluster structure and missing data in multi-site deployments; and sparse validation of wearable sensors in field conditions. Prior work also often reports either safety or productivity, not both, and rarely applies causal inference methods (e.g., per-protocol IV or marginal structural models) to adjust for noncompliance and time-varying confounding. These gaps leave unresolved how common OSH interventions affect combined safety-and-productivity outcomes in ageing workforces across sectors.</w:t>
      </w:r>
    </w:p>
    <w:p>
      <w:r>
        <w:t xml:space="preserve"> </w:t>
      </w:r>
    </w:p>
    <w:p>
      <w:pPr>
        <w:pStyle w:val="Heading2"/>
      </w:pPr>
      <w:r>
        <w:t>Abstract</w:t>
      </w:r>
    </w:p>
    <w:p>
      <w:r>
        <w:t>This study investigates how workplace occupational safety and health (OSH) interventions affect combined safety and productivity outcomes in ageing workers. We propose an exploratory, stepped-wedge cluster randomized design that combines repeated questionnaires, objective productivity logs, and wearable sensors to map common OSH interventions and measure their 12-month effects on a pre-specified Work Safety-Productivity Index (WSPI). WSPI integrates change in musculoskeletal symptoms (Nordic Musculoskeletal Questionnaire) and percent change in productivity into a standardized composite outcome. The main contribution is an integrated, reproducible protocol that (a) evaluates interventions across manufacturing, care, and office settings, (b) uses mixed-effects models for cluster-level causal inference under intention-to-treat (ITT), and (c) pre-specifies sensitivity and robustness analyses including per-protocol IV estimates and marginal structural models (MSM) for time-varying confounding. Expected outcomes include quantification of intervention effects on WSPI, component-wise mechanisms, sensor validation benchmarks, and employer-facing ROI scenarios to inform scalable adoption for ageing workforces.</w:t>
      </w:r>
    </w:p>
    <w:p>
      <w:r>
        <w:t xml:space="preserve"> </w:t>
      </w:r>
    </w:p>
    <w:p>
      <w:pPr>
        <w:pStyle w:val="Heading2"/>
      </w:pPr>
      <w:r>
        <w:t>Experiments</w:t>
      </w:r>
    </w:p>
    <w:p>
      <w:r>
        <w:t>Design: stepped-wedge cluster-randomized trial (each cluster = worksite or site unit). Planned clusters: 24 clusters randomized to staggered implementation in 6 steps; target average cluster size = 20 workers; target total N ≈ 480 participants. Pilot: 6-week lab+field sensor validation in 2 clusters (≈40 workers). Data sources: repeated questionnaires (Nordic Musculoskeletal Questionnaire, psychosocial scales), EMA prompts, device-use logs, productivity logs (tasks completed per paid hour), and wearables (IMU at 100 Hz, surface EMG at 1000 Hz where feasible). Baseline period: 4 weeks per participant for productivity baseline. Primary outcome: WSPI at 12 months — WSPI = mean of two within-site z-scores: (a) sign-inverted NMQ change (higher=better) and (b) percent productivity change using log((post+κ)/(baseline+κ)) with κ=0.5 (κ prevents division-by-zero). Primary analysis: multilevel linear mixed-effects model with random intercepts for cluster and participant; fixed effects for time steps; inference on 12-month marginal mean difference under ITT. (Mixed-effects model: statistical model that accounts for clustered and repeated measurements.) Secondary analyses: component-wise effects (NMQ, productivity), per-protocol CACE via two-stage least squares (IV using randomization), MSM with IPTW (inverse probability of treatment weighting) to handle time-varying confounding, and economic ROI models (employer perspective, 12-month horizon). Missing-data strategies compared: (A) multilevel multiple imputation (MI) including cluster indicators and auxiliary variables; (B) stabilized inverse-probability-of-dropout weighting (IPW); (C) pattern-mixture delta-adjustment grid from 0 to −0.5 SD and tipping-point analysis. Sensor validation and QA: lab reference comparison to motion capture for IMU subset (n≈20), report SNR distributions (EMG SNR in dB), orientation error epochs, and epoch-level flagging. Ablation and comparisons: (1) WSPI weighting schemes: equal within-site vs PCA-derived vs inverse-variance vs across-site standardization; (2) remove sensor-derived features to assess added value; (3) compare MI vs IPW vs pattern-mixture for primary inference. Evaluation metrics: primary effect estimate (difference in WSPI at 12 months), 95% confidence interval, two-sided p-value; component effect sizes and CACE estimates with weak-instrument-robust CIs; E-values for unmeasured confounding; sensor accuracy metrics (RMS error, SNR, percent epochs meeting thresholds); economic metrics: ROI, payback time, and probabilistic sensitivity analysis (PSA). Reproducibility: all simulations, ETL, and analysis code containerized (R or Python) with fixed seeds, versioned data dictionary, and published scripts for power simulations and sensitivity analyses.</w:t>
      </w:r>
    </w:p>
    <w:p>
      <w:r>
        <w:t xml:space="preserve"> </w:t>
      </w:r>
    </w:p>
    <w:p>
      <w:pPr>
        <w:pStyle w:val="Heading2"/>
      </w:pPr>
      <w:r>
        <w:t>Risk Factors And Limitations</w:t>
      </w:r>
    </w:p>
    <w:p>
      <w:r>
        <w:t>Recruitment and sampling bias: healthy-worker bias if absent or sick workers are under-recruited, reducing generalizability. Cluster variability: wide differences in cluster sizes or intracluster correlation (ICC) may reduce power. Sensor failure and data loss: device malfunction, non-wear, or low SNR will produce missing or noisy sensor-derived features and may bias biomechanical measures. Noncompliance: low intervention adherence undermines ITT precision and complicates per-protocol causal estimates; IV assumptions (exclusion restriction, monotonicity) may be violated. Missing-data assumptions: MNAR (missing not at random) mechanisms may make MI/IPW inadequate and sensitivity analyses may be inconclusive. Measurement construct limits: WSPI combines subjective symptom change and productivity percent-change, which may move in opposite directions and complicate interpretation. External validity: results from participating sectors (manufacturing, care, office) and SMEs may not generalize to other industries or countries. Privacy and linkage constraints: strict pseudonymization may limit the ability to merge certain administrative data. Resource limits: stepped-wedge logistics, sensor calibration, and data-processing costs may constrain sample size and follow-up completeness.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