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circular_osh_ecosystem</w:t>
      </w:r>
    </w:p>
    <w:p>
      <w:r>
        <w:t xml:space="preserve"> </w:t>
      </w:r>
    </w:p>
    <w:p>
      <w:pPr>
        <w:pStyle w:val="Heading2"/>
      </w:pPr>
      <w:r>
        <w:t>Title</w:t>
      </w:r>
    </w:p>
    <w:p>
      <w:r>
        <w:t>Cross‑national mixed‑methods evaluation of a circular‑ecosystem approach to occupational safety and health intervention design, implementation, and evaluation</w:t>
      </w:r>
    </w:p>
    <w:p>
      <w:r>
        <w:t xml:space="preserve"> </w:t>
      </w:r>
    </w:p>
    <w:p>
      <w:pPr>
        <w:pStyle w:val="Heading2"/>
      </w:pPr>
      <w:r>
        <w:t>Short Hypothesis</w:t>
      </w:r>
    </w:p>
    <w:p>
      <w:r>
        <w:t>Occupational safety and health (OSH) interventions designed using a circular-ecosystem perspective (explicitly integrating value, actors, data/materials/flows, circular activities/strategies, and governance) will produce larger reductions in non‑fatal injury incidence over a 3‑year post‑implementation period than comparable interventions designed without this perspective.</w:t>
      </w:r>
    </w:p>
    <w:p>
      <w:r>
        <w:t xml:space="preserve"> </w:t>
      </w:r>
    </w:p>
    <w:p>
      <w:pPr>
        <w:pStyle w:val="Heading2"/>
      </w:pPr>
      <w:r>
        <w:t>Related Work</w:t>
      </w:r>
    </w:p>
    <w:p>
      <w:r>
        <w:t>Existing OSH intervention research mostly evaluates single interventions (training, inspections, engineering controls) or implementation using frameworks like CFIR and Proctor but typically treats components in isolation. Policy evaluation studies use difference‑in‑differences (DiD) and synthetic control methods for causal claims but face problems with staggered adoption, small donor pools, and heterogeneous contexts. Some work uses system dynamics or agent‑based models to capture feedbacks in safety systems, but these studies are often single‑country, do not integrate qualitative implementation priors, and rarely address informal sectors. Measurement and harmonization efforts exist (injury registries, labour force surveys) but lack a standardized cross‑national outcome set and harmonized denominators for informal work. Privacy‑preserving linkage and capture–recapture methods have been applied to under‑reporting but often omit dependence diagnostics and stratified models for heterogeneous populations. In sum, gaps include limited multi‑actor ecosystem framing, weak integration of qualitative priors into quantitative models, inadequate handling of informal sector denominators, and methodological limits in causal designs across diverse countries.</w:t>
      </w:r>
    </w:p>
    <w:p>
      <w:r>
        <w:t xml:space="preserve"> </w:t>
      </w:r>
    </w:p>
    <w:p>
      <w:pPr>
        <w:pStyle w:val="Heading2"/>
      </w:pPr>
      <w:r>
        <w:t>Abstract</w:t>
      </w:r>
    </w:p>
    <w:p>
      <w:r>
        <w:t>We address whether a circular‑ecosystem perspective improves the effectiveness of occupational safety and health (OSH) interventions across countries and sectors. The circular‑ecosystem perspective treats interventions as processes shaped by five interacting elements: value, actors, data/materials/flows, circular activities/strategies, and governance. We use a mixed‑methods, cross‑national design: Delphi and expert interviews to define ecosystem elements and priors; purposive multi‑country qualitative case studies to generate context‑mechanism‑outcome (CMO) configurations; and quasi‑experimental causal evaluation (DiD with modern staggered estimators, synthetic controls, and propensity/entropy balanced firm‑level comparisons) to estimate effects on harmonized core outcomes (injury incidence, fatality rate, workdays lost, near‑miss reporting, exposure prevalences). We integrate qualitative priors as numeric parameter priors in system dynamics/agent‑based models and run ablation scenarios that remove individual ecosystem elements to quantify their contribution. The main contribution is a reproducible protocol and evidence package showing whether and how ecosystem‑informed intervention design changes safety outcomes and reporting, with special focus on informal workers and LMIC settings. Expected impact: clearer causal evidence and transferable design rules for equitable OSH interventions.</w:t>
      </w:r>
    </w:p>
    <w:p>
      <w:r>
        <w:t xml:space="preserve"> </w:t>
      </w:r>
    </w:p>
    <w:p>
      <w:pPr>
        <w:pStyle w:val="Heading2"/>
      </w:pPr>
      <w:r>
        <w:t>Experiments</w:t>
      </w:r>
    </w:p>
    <w:p>
      <w:r>
        <w:t>Datasets: (1) Administrative injury registries and death registries per country; (2) Labour force surveys and enterprise registries for denominators; (3) Sentinel household/labour surveys in selected sites to validate informal work denominators; (4) Delphi survey (n=40–60 experts) and 40–60 semi‑structured interviews across 8–12 countries (min 4–6 LMICs), 6–10 in‑depth case studies, and stakeholder/network data (60–120 nodes per country); (5) Geospatial layers (administrative boundaries, population/satellite proxies, governance indices). Baselines: (A) interventions developed by conventional siloed methods (training, inspections, engineering controls) matched on sector and baseline rates; (B) historical pre‑intervention trends. Evaluation metrics: non‑fatal injury incidence per 100 worker‑years; fatal injury rate per 100,000 worker‑years; workdays lost per 100 worker‑years; near‑miss/reporting rate per 100 worker‑years; exposure prevalence (%) for target hazards; network centrality and diffusion speed for stakeholder adoption. Experimental setup: Phase 1 — Delphi and interviews to define ecosystem elements and elicit priors; publish elicitation scripts and numeric priors. Phase 2 — implement matched field pilots or identify naturally occurring policy adoptions where one set of sites used circular‑ecosystem design and matched controls used conventional design. Quasi‑experimental causal estimation: (i) DiD with event‑study t−3..t+3 and staggered estimators (Sun &amp; Abraham; Callaway &amp; Sant’Anna) for multi‑site adoption (these estimators correct bias from staggered timing); (ii) synthetic control for country‑level policies (require minimum pre‑intervention periods as a donor‑pool diagnostic); (iii) propensity score or entropy balancing for firm‑level comparisons. Preprocessing: harmonize denominators via ISCO/NAICS crosswalk, impute missing strata, and apply capture–recapture (log‑linear models, stratified) to adjust informal denominators. Model integration: calibrate system dynamics / agent‑based models using empirical estimates and qualitative priors (multi‑objective fit). Ablation study: estimate causal effects when each ecosystem element (value, actors, data/materials/flows, circular activities, governance) is removed from design; report estimated difference in primary metric (non‑fatal injury incidence) over 3 years. Robustness: lead placebo tests, falsification outcomes, E‑values, Rosenbaum bounds, instrument validity checks when using IVs (report F‑statistics). Pre-registration: OSF preregistration of pre‑analysis plan, parameter simulation CSVs, and code containers (exact random seeds).</w:t>
      </w:r>
    </w:p>
    <w:p>
      <w:r>
        <w:t xml:space="preserve"> </w:t>
      </w:r>
    </w:p>
    <w:p>
      <w:pPr>
        <w:pStyle w:val="Heading2"/>
      </w:pPr>
      <w:r>
        <w:t>Risk Factors And Limitations</w:t>
      </w:r>
    </w:p>
    <w:p>
      <w:r>
        <w:t>Technical failure modes: poor alignment between qualitative priors and empirical data may yield model mis‑specification; system models may not converge or may be under‑identified. Data and evaluation biases: under‑reporting and misclassification are common, especially in informal sectors; capture–recapture assumptions (independence between sources) may be violated. Causal design limits: small donor pools or short pre‑intervention periods limit synthetic control validity; staggered adoption estimators require parallel pre‑trends for credible DiD. Scalability and compute: agent‑based or SMC privacy protocols may require high compute and bandwidth for multi‑country linkage. Privacy/legal constraints: cross‑border data sharing and IRB delays may restrict access to identifiable linkage required for denominators. Generalization limits: results from selected countries or sectors may not generalize to all LMICs or highly informal contexts. Measurement limits: harmonized exposure thresholds and exact denominators may be unavailable in some sites, reducing comparability across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