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ai_women_tourism_inclusivity</w:t>
      </w:r>
    </w:p>
    <w:p>
      <w:r>
        <w:t xml:space="preserve"> </w:t>
      </w:r>
    </w:p>
    <w:p>
      <w:pPr>
        <w:pStyle w:val="Heading2"/>
      </w:pPr>
      <w:r>
        <w:t>Title</w:t>
      </w:r>
    </w:p>
    <w:p>
      <w:r>
        <w:t>Qualitative investigation of responsible AI guided by Rawls' theory of justice to reduce barriers to inclusivity for women entrepreneurs in tourism</w:t>
      </w:r>
    </w:p>
    <w:p>
      <w:r>
        <w:t xml:space="preserve"> </w:t>
      </w:r>
    </w:p>
    <w:p>
      <w:pPr>
        <w:pStyle w:val="Heading2"/>
      </w:pPr>
      <w:r>
        <w:t>Short Hypothesis</w:t>
      </w:r>
    </w:p>
    <w:p>
      <w:r>
        <w:t>Deploying a responsible AI intervention designed with Rawlsian fairness constraints causes a statistically measurable increase in monthly business revenue and weekly time autonomy for women entrepreneurs in tourism within 12 months, relative to a no-AI control.</w:t>
      </w:r>
    </w:p>
    <w:p>
      <w:r>
        <w:t xml:space="preserve"> </w:t>
      </w:r>
    </w:p>
    <w:p>
      <w:pPr>
        <w:pStyle w:val="Heading2"/>
      </w:pPr>
      <w:r>
        <w:t>Related Work</w:t>
      </w:r>
    </w:p>
    <w:p>
      <w:r>
        <w:t>Prior work spans three relevant strands: (1) studies of digital platforms and AI tools for small and informal entrepreneurs that show mixed economic gains but often amplify existing visibility and access inequalities; (2) fairness and responsible-AI research that develops technical constraints (for example, exposure parity or equal-opportunity) and privacy methods (federated learning, differential privacy) but rarely tests these in low-connectivity, gendered field settings; (3) qualitative research on women entrepreneurship in tourism that documents barriers such as caregiving, mobility, finance, safety, and digital literacy. Limitations across these strands include weak integration between ethical theory and deployment, scarce mixed-method impact evaluations in tourism, few operationalized Rawlsian designs in models, limited evidence on privacy-preserving solutions under field constraints, and lack of reproducible measurement protocols for income and time autonomy in informal contexts.</w:t>
      </w:r>
    </w:p>
    <w:p>
      <w:r>
        <w:t xml:space="preserve"> </w:t>
      </w:r>
    </w:p>
    <w:p>
      <w:pPr>
        <w:pStyle w:val="Heading2"/>
      </w:pPr>
      <w:r>
        <w:t>Abstract</w:t>
      </w:r>
    </w:p>
    <w:p>
      <w:r>
        <w:t>This study asks whether responsible AI, interpreted through Rawls' theory of justice, can reduce structural barriers that limit inclusivity for women entrepreneurs in tourism. We combine qualitative interviews and focus groups with operational pilot deployments to evaluate whether AI tools designed with fairness constraints and community-centered governance change economic and autonomy outcomes for women. The main contribution is a reproducible framework that (a) translates Rawlsian justice principles into operational model constraints and consent/governance flows, (b) links qualitative barrier coding to model design, and (c) provides empirical evidence on outcome changes and lived experience. Expected outcomes include: a validated annotation schema of barriers, measurable estimates of AI impact on monthly revenue and time autonomy, and concrete governance and privacy specifications for low-connectivity contexts. Results will clarify if and how ethically designed AI supports more equitable entrepreneurial ecosystems for women in tourism.</w:t>
      </w:r>
    </w:p>
    <w:p>
      <w:r>
        <w:t xml:space="preserve"> </w:t>
      </w:r>
    </w:p>
    <w:p>
      <w:pPr>
        <w:pStyle w:val="Heading2"/>
      </w:pPr>
      <w:r>
        <w:t>Experiments</w:t>
      </w:r>
    </w:p>
    <w:p>
      <w:r>
        <w:t>Data sources: (1) qualitative transcripts from semi-structured interviews (N≈400) and focus groups (≈40 groups) across urban/rural sites and four personas; (2) pilot transactional logs and platform usage records from field pilots; (3) validation subsample receipts/ledgers (n=300) for revenue measurement error. Experimental design: cluster randomized trial (clusters = market/commune) with four arms: (A) control (no AI), (B) standard AI recommender, (C) responsible-AI recommender with exposure-parity constraint, (D) human-advisor hybrid. Target sample scenarios reported for power: scenario 1 detect 20% relative revenue effect (~25 clusters/arm × 20 entrepreneurs/cluster ≈ 2,000 entrepreneurs), scenario 2 detect 10% (~50 clusters/arm ≈ 4,000 entrepreneurs). Evaluation timeline: baseline, midline at 6–9 months, endline at 12 months. Baselines for comparison: no-AI control and standard recommender without fairness constraints. Metrics: primary—monthly revenue change (log scale), 12-month business survival, weekly hours freed; secondary—bookings/listings, average order value, adoption rate, safety incident counts, digital-literacy score. Fairness metrics: true positive rate (TPR) gap across persona groups and exposure ratio (share of recommendations shown) difference; report absolute gaps. Privacy experiments: compare centralized training vs federated training with user-level differential privacy (ε=4) measuring utility loss (change in RMSE or revenue effect estimate variance). Analysis methods: mixed-effects models with cluster fixed effects and cluster-robust SEs, ITT and CACE estimands, event-study for timing effects; qualitative analysis: thematic coding using pre-specified codebook (persona tag, barrier category, sentiment) with IAA targets (Cohen’s kappa ≥0.7 exploratory, ≥0.8 core). Ablation studies: (1) responsible AI with vs without exposure-parity constraint; (2) federated DP (ε=4) vs non-DP centralized model; (3) voice-first vs text UI prototypes for low-literacy personas. Reproducibility: publish analysis scripts (R/Python) to compute sample-size tables, models, and privacy accounting.</w:t>
      </w:r>
    </w:p>
    <w:p>
      <w:r>
        <w:t xml:space="preserve"> </w:t>
      </w:r>
    </w:p>
    <w:p>
      <w:pPr>
        <w:pStyle w:val="Heading2"/>
      </w:pPr>
      <w:r>
        <w:t>Risk Factors And Limitations</w:t>
      </w:r>
    </w:p>
    <w:p>
      <w:r>
        <w:t>Technical failure modes: federated learning may fail under intermittent connectivity or low-end devices causing delayed or biased model updates; differential privacy (ε=4) can increase variance and reduce ability to detect effects. Data and measurement biases: self-reported revenue and time-use may be noisy and systematically biased across personas; validation subsample may not fully correct for all errors. Evaluation threats: spillovers between clusters (social links or market overlap) can bias estimated treatment effects if buffer rules are imperfect. Fairness limits: fairness constraints (for example exposure parity) may trade off overall utility and reduce performance for some users. Scalability and compute: on-device compute, battery, and storage constraints may limit model complexity and update frequency in low-resource settings. Generalization: results from specific tourism markets and cultural contexts may not transfer to other sectors or regions. Governance and safety limits: human verification of safety alerts may be infeasible in remote areas, creating unresolved latency in responses. Ethical/regulatory constraints: delays in approvals or differing local data laws may limit deployment scope and timeline.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