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unpaid_eldercare_gender_norms_thailand</w:t>
      </w:r>
    </w:p>
    <w:p>
      <w:r>
        <w:t xml:space="preserve"> </w:t>
      </w:r>
    </w:p>
    <w:p>
      <w:pPr>
        <w:pStyle w:val="Heading2"/>
      </w:pPr>
      <w:r>
        <w:t>Title</w:t>
      </w:r>
    </w:p>
    <w:p>
      <w:r>
        <w:t>A mixed-methods causal study of how community gender norms on altruism affect unpaid eldercare hours in Thailand</w:t>
      </w:r>
    </w:p>
    <w:p>
      <w:r>
        <w:t xml:space="preserve"> </w:t>
      </w:r>
    </w:p>
    <w:p>
      <w:pPr>
        <w:pStyle w:val="Heading2"/>
      </w:pPr>
      <w:r>
        <w:t>Short Hypothesis</w:t>
      </w:r>
    </w:p>
    <w:p>
      <w:r>
        <w:t>Higher community-level altruistic gender norms cause an increase in weekly unpaid eldercare hours provided by female primary caregivers, conditional on elder care need.</w:t>
      </w:r>
    </w:p>
    <w:p>
      <w:r>
        <w:t xml:space="preserve"> </w:t>
      </w:r>
    </w:p>
    <w:p>
      <w:pPr>
        <w:pStyle w:val="Heading2"/>
      </w:pPr>
      <w:r>
        <w:t>Related Work</w:t>
      </w:r>
    </w:p>
    <w:p>
      <w:r>
        <w:t>Existing research measures unpaid eldercare using time-use surveys and cross-sectional household studies and examines gender differences in caregiving. Some studies use vignette experiments or incentivized tasks to probe altruistic behavior or norms, and a few exploit natural variation (service rollouts or distance to services) as instruments for care supply. Prior work has three main limitations: (1) endogeneity and weak causal identification—observational correlations cannot separate norms from unobserved factors that drive caregiving; (2) measurement weaknesses—few studies use culturally validated, psychometrically tested norm scales or combine self-report with objective time-use validation; (3) limited external validity and power—many samples are local or small, and IVs are not pre‑specified or tested for strength. There is also limited integration of behavioral experiments, latent measurement models, and community-level aggregation rules in a single nationally representative panel design.</w:t>
      </w:r>
    </w:p>
    <w:p>
      <w:r>
        <w:t xml:space="preserve"> </w:t>
      </w:r>
    </w:p>
    <w:p>
      <w:pPr>
        <w:pStyle w:val="Heading2"/>
      </w:pPr>
      <w:r>
        <w:t>Abstract</w:t>
      </w:r>
    </w:p>
    <w:p>
      <w:r>
        <w:t>This study tests whether community gender norms about altruistic behavior causally influence unpaid care supplied to older adults in Thailand. We combine a nationally representative panel survey of households with a person aged 60+, psychometrically validated norm measurement, an embedded randomized vignette experiment, incentivized behavioral tasks, time-use diaries, and candidate instruments (staggered respite service rollouts, distance to eldercare centers, policy timing). Main contributions are: (1) a Thai-context Altruism-Norm Scale (TANS) tested for measurement invariance; (2) causal estimates from both randomized normative messages and instrumental variables linking community norms to female caregivers’ hours/week; and (3) validated objective time-use measures to reduce reporting bias. Expected outcomes are precise estimates of the normative effect on caregiving intensity, policy-relevant minimal detectable effects in hours/week, and a reproducible analytic pipeline. Results will inform whether norm-focused interventions or public services better address gendered unpaid eldercare burdens in Thailand.</w:t>
      </w:r>
    </w:p>
    <w:p>
      <w:r>
        <w:t xml:space="preserve"> </w:t>
      </w:r>
    </w:p>
    <w:p>
      <w:pPr>
        <w:pStyle w:val="Heading2"/>
      </w:pPr>
      <w:r>
        <w:t>Experiments</w:t>
      </w:r>
    </w:p>
    <w:p>
      <w:r>
        <w:t>Datasets: (a) National panel survey sampling households with ≥1 person aged 60+; baseline n=3,000 households (provision to oversample to n=3,600 if IV first-stage weak). (b) Two-province pilot n≈150. (c) Subsamples: passive time-use opt-in n=600, incentivized behavioral tasks n=1,000. Baselines: OLS with cluster-robust SEs, panel fixed-effects, 2SLS IV using candidate instruments (staggered respite rollout, distance to public eldercare center, exogenous policy timing). Experimental arm: randomized vignette messages at respondent level (normative frame A: family duty; B: mixed; C: public/state support) stratified by PSU. Measurement: TANS constructed via confirmatory factor analysis (CFA) and item response theory (IRT); community-level index aggregated by cluster mean and Empirical Bayes shrinkage alternative. Evaluation metrics: primary—weekly unpaid eldercare hours (hours/week) and standardized effect (SD units); secondary—caregiving incidence (binary), caregiver PHQ-9 score (mental health), change in labor hours, first-stage F-stat and partial R2 for IV, Cronbach's alpha/omega, CFA fit indices (RMSEA, CFI, TLI). Experimental setup: pre-register covariates (care need index from ADL/IADL, caregiver age, education, household size, region, urban/rural), stratified random assignment, cluster-robust inference by PSU, and pre-specified power/MDE tables. Ablation and comparisons: (1) compare causal estimates from randomized vignette (intent-to-treat) vs observational OLS; (2) IV vs panel FE estimates; (3) index aggregation methods: cluster mean vs shrinkage; (4) measurement ablation: full TANS vs reduced item sets; (5) behavioral-task inclusion vs exclusion to assess reliance on incentivized proxies. Reporting: first-stage diagnostics (F&gt;10 target), weak-IV robust CIs (Anderson-Rubin/LIML), and sensitivity tables for measurement-error correction and Conley-style bias bounds.</w:t>
      </w:r>
    </w:p>
    <w:p>
      <w:r>
        <w:t xml:space="preserve"> </w:t>
      </w:r>
    </w:p>
    <w:p>
      <w:pPr>
        <w:pStyle w:val="Heading2"/>
      </w:pPr>
      <w:r>
        <w:t>Risk Factors And Limitations</w:t>
      </w:r>
    </w:p>
    <w:p>
      <w:r>
        <w:t>IV credibility: candidate instruments may violate exogeneity (e.g., rollouts correlated with local development) or be weak, producing biased IV estimates. Measurement error: the community norm index may be noisy, causing attenuation bias. Social desirability and reporting bias: caregivers may over- or under-report hours despite list experiments and passive logging. Attrition and selection: panel loss or opt-in for passive logging can bias estimates if nonrandom. Power limits for subgroups: subgroup analyses (by kinship, region, gender) may be underpowered even with oversampling. Enumerator and logistic constraints: travel times and daily interview capacity may limit effective sample collection with planned staffing. Passive logging bias: opt-in participants may not represent broader caregivers. Ethical and data-sovereignty constraints: consent refusal, legal limits on data sharing, or required data localization may restrict analysis and reuse. Generalizability: findings are specific to Thailand’s cultural and policy context and may not transfer to other countries. Contamination: vignette treatments may have spillovers within communities, complicating inference. Computational limits: complex SEM/IRT and simulation code may require significant compute for bootstrapped inference and sensitivity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