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trade_agreements_sustainable_fisheries</w:t>
      </w:r>
    </w:p>
    <w:p>
      <w:r>
        <w:t xml:space="preserve"> </w:t>
      </w:r>
    </w:p>
    <w:p>
      <w:pPr>
        <w:pStyle w:val="Heading2"/>
      </w:pPr>
      <w:r>
        <w:t>Title</w:t>
      </w:r>
    </w:p>
    <w:p>
      <w:r>
        <w:t>Difference-in-differences with propensity-score matching to estimate the effect of fisheries-related provisions in trade agreements on marine mean trophic level</w:t>
      </w:r>
    </w:p>
    <w:p>
      <w:r>
        <w:t xml:space="preserve"> </w:t>
      </w:r>
    </w:p>
    <w:p>
      <w:pPr>
        <w:pStyle w:val="Heading2"/>
      </w:pPr>
      <w:r>
        <w:t>Short Hypothesis</w:t>
      </w:r>
    </w:p>
    <w:p>
      <w:r>
        <w:t>Signing a free trade agreement that contains binding fisheries-related provisions causes an increase (or slower decline) in a country's marine mean trophic level (MTL) for its reported catches compared to similar countries that do not sign such an agreement, conditional on pre-treatment trends.</w:t>
      </w:r>
    </w:p>
    <w:p>
      <w:r>
        <w:t xml:space="preserve"> </w:t>
      </w:r>
    </w:p>
    <w:p>
      <w:pPr>
        <w:pStyle w:val="Heading2"/>
      </w:pPr>
      <w:r>
        <w:t>Related Work</w:t>
      </w:r>
    </w:p>
    <w:p>
      <w:r>
        <w:t>Prior work connects trade policy and environmental outcomes using panel methods and case studies. Studies measuring fisheries sustainability often use the mean trophic level (MTL), a catch-based indicator that averages the food-web position of species caught. Common empirical tools include difference-in-differences (DiD) to compare treated and control units over time, propensity-score matching (PSM) to improve comparability, staggered-DiD corrections for varied adoption timing, and synthetic control methods for single or large idiosyncratic treatments. Related trade-policy work examines tariff changes and subsidy effects on fishing effort but typically uses aggregate treaty indicators or country-level dummies rather than clause-level coding. Limitations in existing approaches include coarse species mapping from trade data to fisheries, inadequate treatment of measurement error in AIS/logbook linkages, incomplete handling of staggered treatment bias, weak instrument plausibility when used, limited use of DNA-based validation for species identity, and often insufficient power analyses and uncertainty propagation to support robust policy claims.</w:t>
      </w:r>
    </w:p>
    <w:p>
      <w:r>
        <w:t xml:space="preserve"> </w:t>
      </w:r>
    </w:p>
    <w:p>
      <w:pPr>
        <w:pStyle w:val="Heading2"/>
      </w:pPr>
      <w:r>
        <w:t>Abstract</w:t>
      </w:r>
    </w:p>
    <w:p>
      <w:r>
        <w:t>This study tests whether signing free trade agreements (FTAs) that include binding fisheries-related provisions affects the sustainability of marine fisheries, measured by changes in mean trophic level (MTL) of reported catches. We combine a global MTL panel (1950–2018) with a clause-level dataset of environmental and fisheries provisions in trade agreements (1947–2018). The empirical strategy uses propensity-score matching (PSM) to build comparable control groups and a difference-in-differences (DiD) estimator with staggered-adoption corrections to estimate causal effects. We integrate measurement-error corrections for HS-to-species mapping and AIS/logbook matching, and incorporate DNA-based validation samples to quantify species misidentification. The main contribution is a reproducible pipeline that links legal-text coding to ecological outcomes and reports uncertainty from matching, measurement error, and serial correlation. Expected outcomes include estimates of the direction and size of treaty effects on MTL, diagnostics on identification assumptions, and quantified uncertainty to inform policy design of trade clauses for fisheries sustainability.</w:t>
      </w:r>
    </w:p>
    <w:p>
      <w:r>
        <w:t xml:space="preserve"> </w:t>
      </w:r>
    </w:p>
    <w:p>
      <w:pPr>
        <w:pStyle w:val="Heading2"/>
      </w:pPr>
      <w:r>
        <w:t>Experiments</w:t>
      </w:r>
    </w:p>
    <w:p>
      <w:r>
        <w:t>Datasets: (1) Global Mean Trophic Level (MTL) panel of catch by country-year-species (1950–2018). (2) Clause-level trade agreement dataset with fisheries-related provisions and effective dates (1947–2018). (3) Trade flows (UN Comtrade) at HS6/HS8, bills of lading, and processor registries. (4) AIS/VMS effort layers (Global Fishing Watch), national logbooks, and RFMO stock assessment summaries (SSB, F). (5) DNA barcode validation samples for pilot ports/species. Baselines: (A) DiD without matching, (B) DiD with standard covariate controls, (C) Synthetic control for large treatments, (D) Staggered-DiD corrected estimators (Callaway &amp; Sant’Anna; Sun &amp; Abraham). Primary estimator: PSM to form matched controls followed by staggered DiD with cluster-robust standard errors. Evaluation metrics: change-in-MTL (absolute and log), change-in-SSB and F where available, balance diagnostics (standardized mean differences), placebo p-values from falsification outcomes, RMSE of out-of-sample predictions, and coverage of bootstrap confidence intervals. Measurement-error experiments: (1) Ablation A — omit HS→species measurement-error correction; (2) Ablation B — omit AIS logbook correction; (3) Ablation C — omit DNA reweighting. For each ablation compute bias in DiD estimate, change in standard error, and sensitivity surfaces across ICC grid. Power analysis: Monte Carlo simulations with panel T=10 (5 pre,5 post), effect-size grid Δlog {0.15,0.20,0.30}, ICC grid {0.05,0.12,0.18,0.25}, AR(1) rho ∈ {0.2,0.5}, and treated cell counts 20–100 to produce power surfaces. Measurement-error propagation: run simulation-extrapolation (SIMEX) and bootstrap reweighting using DNA-derived mislabel rates; report corrected estimates and 95% bootstrap intervals. Pre-analysis plan: register outcomes, treatment windows, matching covariates, and placebo tests before estimation. All code, Monte Carlo notebooks, and a Minimal Working Example dataset will be published.</w:t>
      </w:r>
    </w:p>
    <w:p>
      <w:r>
        <w:t xml:space="preserve"> </w:t>
      </w:r>
    </w:p>
    <w:p>
      <w:pPr>
        <w:pStyle w:val="Heading2"/>
      </w:pPr>
      <w:r>
        <w:t>Risk Factors And Limitations</w:t>
      </w:r>
    </w:p>
    <w:p>
      <w:r>
        <w:t>Data coverage bias: AIS/VMS omit small vessels and some flags, causing nonrandom effort gaps. HS-to-species mapping error: processed products and multi-species lines can misassign species, producing biased MTL signals. DNA sample limits: DNA validation may be too sparse or nonrepresentative to correct all misclassification. Endogeneity risk: treaty signing may be correlated with unobserved trends in fisheries management not captured by covariates. Staggered-treatment fragility: DiD estimates can be biased if not using appropriate staggered estimators under heterogeneous effects. Instrument weakness: candidate instruments for IVs may fail exclusion tests, producing unreliable IV estimates. Power and cost trade-offs: detectable effects may require many country×species cells or extensive DNA sampling, creating budget limits. Legal coding ambiguity: clause interpretation differences across coders reduce code reliability. Generalization limits: results may not transfer to unobserved regions or to non-commercial species.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