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quantify_modularity_data_quality</w:t>
      </w:r>
    </w:p>
    <w:p>
      <w:r>
        <w:t xml:space="preserve"> </w:t>
      </w:r>
    </w:p>
    <w:p>
      <w:pPr>
        <w:pStyle w:val="Heading2"/>
      </w:pPr>
      <w:r>
        <w:t>Title</w:t>
      </w:r>
    </w:p>
    <w:p>
      <w:r>
        <w:t>A data-driven null-model and governance framework to quantify modularity effects in modular product families</w:t>
      </w:r>
    </w:p>
    <w:p>
      <w:r>
        <w:t xml:space="preserve"> </w:t>
      </w:r>
    </w:p>
    <w:p>
      <w:pPr>
        <w:pStyle w:val="Heading2"/>
      </w:pPr>
      <w:r>
        <w:t>Short Hypothesis</w:t>
      </w:r>
    </w:p>
    <w:p>
      <w:r>
        <w:t>Standardizing data quality and applying weighted-configuration null models with Monte Carlo uncertainty propagation will reduce estimation variance and increase the accuracy of measured modularity effects on lifecycle cost and lead time, compared to existing ad hoc modularity measures.</w:t>
      </w:r>
    </w:p>
    <w:p>
      <w:r>
        <w:t xml:space="preserve"> </w:t>
      </w:r>
    </w:p>
    <w:p>
      <w:pPr>
        <w:pStyle w:val="Heading2"/>
      </w:pPr>
      <w:r>
        <w:t>Related Work</w:t>
      </w:r>
    </w:p>
    <w:p>
      <w:r>
        <w:t>Existing approaches include structural Design Structure Matrix (DSM) metrics and network modularity scores that measure intra-module connectivity, composite indices that combine structural metrics with heuristic interface or variability scores, and life-cycle models that map architecture to cost and time outcomes. Methodological gaps are: (1) lack of standardized null models to define expected intra-module weights, causing modularity scores to be scale- and density-dependent; (2) limited propagation of null-derived uncertainty into composite scores, yielding overconfident estimates; (3) inconsistent multi-layer integration across physical, information, parts, control, and variant layers; (4) ad hoc interface-maturity and variability rubrics without reproducible training or inter-rater protocols; and (5) weak data governance practices in industrial datasets (missing, inconsistent, or opaque accounting entries). These weaknesses lead to poor comparability, fragile inference, and limited ability to link modularity measurements to economic or lifecycle outcomes.</w:t>
      </w:r>
    </w:p>
    <w:p>
      <w:r>
        <w:t xml:space="preserve"> </w:t>
      </w:r>
    </w:p>
    <w:p>
      <w:pPr>
        <w:pStyle w:val="Heading2"/>
      </w:pPr>
      <w:r>
        <w:t>Abstract</w:t>
      </w:r>
    </w:p>
    <w:p>
      <w:r>
        <w:t>Quantifying how architectural modularity affects product-family outcomes is hindered by poor data quality, missing standards for expected structure, and brittle uncertainty treatment. We propose a reproducible pipeline combining (a) two weighted-configuration null models (integer stub-matching and constrained MCMC) per DSM layer to generate principled baselines; (b) z-score normalization and alternative normalizations for per-layer modularity; (c) a composite Modular Impact Score (MIS) that integrates normalized modularity with explicit interface-maturity (IM) and variability-support (VS) rubrics; and (d) Monte Carlo propagation of null uncertainty into MIS confidence intervals. The framework includes consensus partitioning across multiple community-detection algorithms, unit tests, metadata provenance, and tiered data-governance templates for industrial sharing. Main contributions are an auditable null-model specification, measurable IM/VS rubrics with inter-rater protocols, and simulation and empirical tests to demonstrate CI calibration and predictive validity versus lifecycle metrics. Expected outcome: a transparent, reproducible method that materially improves the quantifiability and comparability of modularity effects for research and industrial decision making.</w:t>
      </w:r>
    </w:p>
    <w:p>
      <w:r>
        <w:t xml:space="preserve"> </w:t>
      </w:r>
    </w:p>
    <w:p>
      <w:pPr>
        <w:pStyle w:val="Heading2"/>
      </w:pPr>
      <w:r>
        <w:t>Experiments</w:t>
      </w:r>
    </w:p>
    <w:p>
      <w:r>
        <w:t>Datasets: (1) Synthetic DSM families with known ground-truth module partitions and parameterized generative models (module-size power-law α∈{2.0,2.5,3.0}, interface volatility rates ∈{0,0.05,0.15}); (2) Three industry case-study collections (automotive subsystems, industrial machinery platforms, consumer electronics families), each with ≥30 families and ~10 variants per family; (3) Annotated multi-layer DSMs (physical, information, parts, control, variant) with IM/VS scored by trained annotators. Baselines: (A) raw intra-module weight fraction; (B) Newman-style modularity Q without null bootstrapping; (C) prior composite indices used in engineering studies. Metrics: estimation error versus ground truth (MSE), CI coverage (empirical 95% coverage), MIS predictive validity for lead time/cost/defect rate (R^2, RMSE), inter-rater reliability (Cohen's κ), effect-detection power (probability of detecting standardized effect d=0.5 with α=0.05), computational cost (runtime, peak memory). Setup: For each dataset run n_null=1000 null draws per layer, B=1000 Monte Carlo MIS samples, and consensus partition via Louvain+Infomap+spectral+hierarchical co-association; report median and 95% CI of MIS. Compare methods via paired bootstrap tests of MSE and predictive R^2. Ablations: remove null model (use observed baseline), remove uncertainty propagation (single-point MIS), alternate normalization (z-score vs percentile vs Winsorized); measure changes in MSE, CI coverage, and predictive validity. Simulation-based calibration (SBC): run 1000 synthetic replicates to test CI calibration and type-I error. Report per-experiment seeds, metadata, and unit-test pass/fail.</w:t>
      </w:r>
    </w:p>
    <w:p>
      <w:r>
        <w:t xml:space="preserve"> </w:t>
      </w:r>
    </w:p>
    <w:p>
      <w:pPr>
        <w:pStyle w:val="Heading2"/>
      </w:pPr>
      <w:r>
        <w:t>Risk Factors And Limitations</w:t>
      </w:r>
    </w:p>
    <w:p>
      <w:r>
        <w:t>1) Data quality: industrial DSMs may have missing or inconsistent edges or weights leading to biased estimates. 2) MCMC convergence: constrained MCMC may mix slowly; poor mixing invalidates null draws. (MCMC = Markov Chain Monte Carlo, a random sampling method.) 3) Stub-scaling bias: integer scaling for stub-matching can introduce rounding bias when weights vary widely. 4) Cross-layer dependence: independent layer null draws ignore inter-layer correlations and may misstate joint uncertainty. 5) IM/VS subjectivity: rubric scores may correlate with modularity measures, creating collinearity and confounding. 6) Privacy and sharing: NDA and sanitization reduce available resolution and can alter network topology. 7) Computational cost: n_null=1000 and B=1000 are expensive on large graphs, limiting scalability. 8) Generalization limits: calibrated defaults may not transfer across industries with different design practices. 9) Multiplicity: many comparisons increase false discovery risk if not controlled. 10) Reproducibility in parallel compute: improper RNG stream management can break determinism across distributed runs.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