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shrinkflation_japan_iv_cp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Instrumental-variable and change-point analysis of product shrinkage (shrinkflation) in Japan and its contribution to consumer price index measurement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Exogenous increases in firms' input costs, instrumented by commodity-price and exchange-rate shocks, cause manufacturers in Japan to reduce product net-content (package size) while keeping nominal retail prices unchanged.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measuring shrinkflation fall into four groups: (1) descriptive scanner-based unit-price comparisons that compute price per gram/mL but do not identify causal drivers; (2) hedonic regressions that try to adjust for quality and packaging attributes but face omitted-attribute bias and limited attribute coverage; (3) change-point and time-series detection (e.g., PELT, binary segmentation) that flag abrupt size drops but can misclassify promotions or relabeling; and (4) behavioral or qualitative studies documenting consumer perceptions. Limitations common across prior work are lack of causal identification (most are correlational), weak cross-country harmonization of units and weights, insufficient OCR/net-content validation leading to measurement error, limited linkage of detected events to firm-level cost shocks, insufficient statistical control for multiple testing, and sparse integration of behavioral elasticities into welfare estimates. These gaps leave unresolved whether observed shrink events are cost-driven strategic responses and how they bias CPI aggregates.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shrinkflation in Japan by combining causal inference with robust change-point detection to quantify how firm cost pressures cause package-size reductions and how those reductions affect CPI measurement. Our approach uses high-frequency input-price instruments (commodity spot/futures, Brent crude, JPY/USD) interacted with firm bill-of-materials exposure, together with product-level change-point algorithms to detect net-content drops. We pre-register hedonic attribute controls, promo-window rules, OCR validation procedures, and multiple-testing corrections. The main contribution is a reproducible pipeline that links exogenous input-cost variation to detected shrink events and produces an adjusted monthly shrink-contribution series to the CPI with uncertainty bounds. Expected outcomes are (1) causal estimates of cost-driven shrinkage, (2) validated shrink-event detection with measurement-error quantification, (3) behavioral parameter estimates for substitution and attention that inform welfare calculations, and (4) a transparent aggregation protocol to report shrink-induced bias in official inflation statistics.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product-level scanner transactions from at least 3 major Japanese retailers plus 1 household scanner panel (target 5,000 households) covering 24 months; (b) Japan Household Budget Survey for weighting; (c) daily/weekly commodity spot and futures (wheat, sugar, palm oil, PET/resin, aluminum, cocoa), Brent crude, JPY/USD exchange-rate, container freight index; (d) plant outage logs, die-change memos, co-packer schedules (firm-supplied); (e) product metadata (UPC, brand, net-content text, pack-count, ingredients, packaging material); (f) behavioral survey and incentivized choice experiment (N=1,200, stratified by age/income/region); (g) OCR validation holdout N=5,000 stratified by category, manufacturer, and multipack complexity. Baselines: (1) naive unit-price per-gram CPI decomposition (no hedonic controls); (2) hedonic-adjusted shrink series (fixed effects) without IV; (3) change-point detection only (PELT/WBS) without causal linking; (4) DiD naïve staggered estimator. Preprocessing: OCR net-content parsing (normalize units to grams/mL/counts), map UPCs to COICOP, exclude VAT/excise then reapply for comparability, flag promotions (promo window ±14 days baseline). Detection: run PELT and Wild Binary Segmentation (WBS) to detect net-content drops; flag events with net-content drop ≥5% and non-increasing per-unit price outside promo window. Causal tests: first-stage regressions of firm cost-pressure on instruments (commodity shocks and BOM exposure interaction), require F-stat&gt;10; second-stage IV estimates of size change on instrumented cost-pressure. DiD: staggered-adoption estimator that corrects recent DiD biases (e.g., Callaway-Sant' approach) using never-treated controls. Inference: Benjamini–Yekutieli FDR for UPC-level detections, Romano–Wolf for aggregate claims, hierarchical bootstrap clustered at UPC×retailer for SEs. Evaluation metrics: detection precision/recall (against manual labels), false discovery rate, first-stage F-stat, Hansen/Sargan p-values (overid), IV estimates (size % change) with 95% CI, bias in CPI contribution (percentage-point difference vs baseline), MDE (minimum detectable effect) tables, substitution-elasticity estimates RMSE from behavioral experiment, welfare-change point estimates (monetary loss per household). Ablations: (A) hedonic vs unadjusted results; (B) instrument sets (full vs commodity-only vs FX-only); (C) promo-window sensitivity (±7, ±14, ±30 days); (D) change-point threshold (3%, 5%, 7%); (E) OCR holdout size (2,000 vs 5,000) and measurement-error correction (SIMEX) vs none; (F) staggered DiD vs naive DiD. Reporting: publish code, container image, synthetic data, preregistered appendix with DAGs, instrument exclusion restrictions, lag-alignment rules (aggregate daily/weekly instruments to monthly SKU window using prespecified lags), and full result tables.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Instrument exogeneity risk: commodity or FX shocks may affect demand or input availability directly, violating exclusion restrictions. Timing endogeneity: die-change memos or tool orders may be strategically timed, producing biased RD estimates. Measurement error: OCR parsing of net-content can be wrong, especially for complex multipacks, causing attenuation bias; even a validated holdout may miss long-tail SKUs. Sample and selection bias: retailer scanner panels and household panels may not represent national purchase shares; post-stratification may not remove all bias. Low event counts: die-change or permanent shrink events per UPC may be rare, reducing power to detect causal effects. Promo and reformulation confounding: simultaneous ingredient or recipe changes can be misattributed as shrinkage. Multiple-testing and clustering: dependence across UPCs can complicate FDR control and inference. Privacy/DP trade-offs: adding differential privacy noise reduces precision of public aggregates. Computation and data access: large-scale OCR, change-point detection, and bootstrap inference require significant compute and secure data enclaves; NDAs may delay access and reproducibility. External validity: results for Japan may not generalize to countries with different labeling laws, unit-pricing regimes, or cultural responses to shrinkage.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