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age_household_inequality_cee</w:t>
      </w:r>
    </w:p>
    <w:p>
      <w:r>
        <w:t xml:space="preserve"> </w:t>
      </w:r>
    </w:p>
    <w:p>
      <w:pPr>
        <w:pStyle w:val="Heading2"/>
      </w:pPr>
      <w:r>
        <w:t>Title</w:t>
      </w:r>
    </w:p>
    <w:p>
      <w:r>
        <w:t>Harmonized microdata decomposition and causal identification of income inequality by age and household type in Central and Eastern Europe</w:t>
      </w:r>
    </w:p>
    <w:p>
      <w:r>
        <w:t xml:space="preserve"> </w:t>
      </w:r>
    </w:p>
    <w:p>
      <w:pPr>
        <w:pStyle w:val="Heading2"/>
      </w:pPr>
      <w:r>
        <w:t>Short Hypothesis</w:t>
      </w:r>
    </w:p>
    <w:p>
      <w:r>
        <w:t>A rising share of elderly-headed households between 2005 and 2022 causally increases household-level income inequality in Central and Eastern European countries, with the increase larger in liberal post-socialist states than in corporatist post-socialist states.</w:t>
      </w:r>
    </w:p>
    <w:p>
      <w:r>
        <w:t xml:space="preserve"> </w:t>
      </w:r>
    </w:p>
    <w:p>
      <w:pPr>
        <w:pStyle w:val="Heading2"/>
      </w:pPr>
      <w:r>
        <w:t>Related Work</w:t>
      </w:r>
    </w:p>
    <w:p>
      <w:r>
        <w:t>Existing approaches measure income inequality by age using age-group decompositions, equivalence scales (rules to adjust household income for size), and source decompositions (labor, pensions, transfers). Many studies use EU-SILC or national surveys but differ in handling household types, imputed rent, capital income, and top incomes. Methods for causal inference commonly exploit policy reforms (pension age changes) with difference-in-differences, but staggered adoption and heterogeneous effects are often not fully addressed. Spatial methods for small-area smoothing exist (spatial random effects), yet prior work rarely integrates spatial smoothing with household-state decompositions. Microsimulation studies model tax-benefit impacts but frequently assume simple intra-household pooling rules and do not jointly propagate top-tail and linkage uncertainties. Key limitations across the literature are inconsistent household-state definitions (few separate institutionalized elderly), under-adjusted top incomes, limited probabilistic linkage error modeling, incomplete uncertainty propagation (sampling + model + linkage), and weak or underpowered causal designs for staggered reforms.</w:t>
      </w:r>
    </w:p>
    <w:p>
      <w:r>
        <w:t xml:space="preserve"> </w:t>
      </w:r>
    </w:p>
    <w:p>
      <w:pPr>
        <w:pStyle w:val="Heading2"/>
      </w:pPr>
      <w:r>
        <w:t>Abstract</w:t>
      </w:r>
    </w:p>
    <w:p>
      <w:r>
        <w:t>This study examines whether demographic aging—measured as changes in the share of elderly-headed household types—causally affected income inequality by age and household type in Central and Eastern Europe between 2005 and 2022. We construct a harmonized microdata repository combining EU-SILC, household budget surveys, census/regional counts, and administrative tax/pension registers where available. Main methods: (1) harmonized income concepts with mandatory sensitivity runs (exclude/include capital income; imputed rent), (2) inequality measurement and decomposition using Gini, Theil, Atkinson and RIF (recentered influence function) regressions with Shapley attribution (a method to apportion contributions), (3) causal identification of reform effects using modern staggered-DID estimators and IVs, and (4) BYM2 spatial smoothing (a spatial model that stabilizes small-area estimates) plus a Bayesian Monte Carlo pipeline that propagates sampling, model and linkage uncertainty. The contribution is an integrated, reproducible pipeline that quantifies how aging and household structure jointly shaped inequality across welfare typologies and provides uncertainty-quantified, policy-relevant comparisons between liberal and corporatist post-socialist states.</w:t>
      </w:r>
    </w:p>
    <w:p>
      <w:r>
        <w:t xml:space="preserve"> </w:t>
      </w:r>
    </w:p>
    <w:p>
      <w:pPr>
        <w:pStyle w:val="Heading2"/>
      </w:pPr>
      <w:r>
        <w:t>Experiments</w:t>
      </w:r>
    </w:p>
    <w:p>
      <w:r>
        <w:t>Datasets: EU-SILC microdata panels (2005 and 2022 waves where available), national HBS for imputed rent calibration, census/regional population and institutionalized counts, and administrative tax/pension registers in pilot countries (Poland, Hungary) where MOUs permit. Countries: Poland, Hungary (pilots); expand to Czechia, Lithuania, Slovakia, Slovenia, Croatia, Estonia, Latvia, Bulgaria, Romania as data allow. Baselines: (A) OECD-modified equivalized disposable income (primary), (B) square-root and per-capita equivalence scales, (C) disposable income excluding capital income, (D) disposable including capital income and imputed rent, (E) unadjusted top-tail survey series, (F) Pareto-adjusted top-tail series, (G) administrative-linked top-tail series where available. Evaluators/metrics: Gini, Theil I, Theil L, Atkinson (ε=0.5,1), S80/S20, top 1% and top 10% income shares, elderly poverty rates by household type, mean/median incomes, and region-level RMSE and CRPS for smoothed estimates (CRPS = continuous ranked probability score). Estimators and tests: RIF regressions for marginal effects on inequality metrics, Shapley decompositions for source attribution, Callaway–Sant'Anna staggered DID and Sun–Abraham as sensitivity (pre-specified placebo windows and no-anticipation tests), IV estimators exploiting phased pension-age reforms (first-stage F&gt;10 threshold), BYM2 spatial smoothing (INLA or Stan) for region estimates, and Bayesian Monte Carlo with &gt;=1000 posterior draws combined with survey replicate resampling for uncertainty. Setup: harmonize household-state flags (lone older adult 65+, older couple 65+, multigenerational, older with grandchildren, single-parent, non-family shared, institutionalized), apply survey weights/replicate weights, create harmonized income modules, run decompositions for 2005 and 2022 and compute changes. Ablation studies: (1) with vs without top-tail correction (Pareto/admin), (2) with vs without imputed rent, (3) equivalence-scale comparison (OECD vs square-root vs per-capita), (4) include vs exclude institutionalized elderly adjustment, (5) spatial smoothing on vs off, (6) Callaway–Sant'Anna vs Sun–Abraham estimators, (7) full Bayesian propagation vs sampling-only variance. Validation: compare top 1% share and aggregate income moments to tax microfiles and national accounts (target: top1% share within ±10% of tax series; aggregate disposable income within ±3% of national accounts), and region-level poverty against census within ±5%. Reproducibility: containerized code, fixed seeds, runbooks, and preregistered analysis plan.</w:t>
      </w:r>
    </w:p>
    <w:p>
      <w:r>
        <w:t xml:space="preserve"> </w:t>
      </w:r>
    </w:p>
    <w:p>
      <w:pPr>
        <w:pStyle w:val="Heading2"/>
      </w:pPr>
      <w:r>
        <w:t>Risk Factors And Limitations</w:t>
      </w:r>
    </w:p>
    <w:p>
      <w:r>
        <w:t>Legal and access risk: MOUs or data-controller approvals for tax/pension registers in Poland and Hungary may be delayed or denied, limiting top-tail correction and linkage. Matching and linkage error: probabilistic matching (linking survey to tax records) can create false links or missed links; these errors bias top-tail estimates and must be recognized. Disclosure risk: publishing top-tail or small-area estimates risks re-identification of wealthy individuals or small institutional populations. Identification limits: staggered reform designs rely on no-anticipation and valid exclusion assumptions; violations or weak instruments (first-stage F&lt;10) will prevent causal claims. Attrition and selection: EU-SILC panel attrition and selective institutionalization of elderly can bias longitudinal inferences. Model and propagation limits: Bayesian Monte Carlo and spatial models are computationally heavy (large CPU/RAM), which may limit iterations or country scope. Generalization: results may not generalize beyond sampled CEE states or beyond 2005–2022 period. Top-tail uncertainty: Pareto fits and synthetic corrections may not fully capture ultra-high income dynamics, producing wide credible intervals. Equity and measurement gaps: intra-household sharing assumptions (equivalence scales vs explicit allocation) remain untestable in some countries due to lack of individual income reporting.</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