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organic_fieldday_adoption_survey</w:t>
      </w:r>
    </w:p>
    <w:p>
      <w:r>
        <w:t xml:space="preserve"> </w:t>
      </w:r>
    </w:p>
    <w:p>
      <w:pPr>
        <w:pStyle w:val="Heading2"/>
      </w:pPr>
      <w:r>
        <w:t>Title</w:t>
      </w:r>
    </w:p>
    <w:p>
      <w:r>
        <w:t>Estimating the causal impact of organic field‑day exposure on stakeholder acceptance and adoption of organic farming innovations using a matched survey design and a validation subsample in Germany</w:t>
      </w:r>
    </w:p>
    <w:p>
      <w:r>
        <w:t xml:space="preserve"> </w:t>
      </w:r>
    </w:p>
    <w:p>
      <w:pPr>
        <w:pStyle w:val="Heading2"/>
      </w:pPr>
      <w:r>
        <w:t>Short Hypothesis</w:t>
      </w:r>
    </w:p>
    <w:p>
      <w:r>
        <w:t>Attendance at an organic field day causes an increase in the probability of adopting at least one surveyed innovation within 12 months compared with otherwise similar farms that did not attend.</w:t>
      </w:r>
    </w:p>
    <w:p>
      <w:r>
        <w:t xml:space="preserve"> </w:t>
      </w:r>
    </w:p>
    <w:p>
      <w:pPr>
        <w:pStyle w:val="Heading2"/>
      </w:pPr>
      <w:r>
        <w:t>Related Work</w:t>
      </w:r>
    </w:p>
    <w:p>
      <w:r>
        <w:t>Existing work on agricultural innovation adoption uses three broad approaches: cross‑section surveys that measure attitudes and self‑reported adoption (simple snapshots), observational quasi‑experimental methods that match or weight nonrandom groups (tries to control for differences), and experimental or encouragement designs that randomize invitations (stronger causal claims). Common limitations are: reliance on self‑reports that create measurement error (farmers misreport yields or practices), selection bias when attendees differ systematically from non‑attendees, small or unstratified samples lacking power for subgroup analysis, and weak or absent validation data linking survey reports to measured outcomes. Studies that include on‑farm measurements typically use small validation subsamples, but many do not predefine sampling depth, lab methods, or how to integrate corrections (measurement‑error methods) into effect estimates. Data governance and reproducible code/data releases are also often incomplete, limiting replication.</w:t>
      </w:r>
    </w:p>
    <w:p>
      <w:r>
        <w:t xml:space="preserve"> </w:t>
      </w:r>
    </w:p>
    <w:p>
      <w:pPr>
        <w:pStyle w:val="Heading2"/>
      </w:pPr>
      <w:r>
        <w:t>Abstract</w:t>
      </w:r>
    </w:p>
    <w:p>
      <w:r>
        <w:t>We study whether exposure to organic field‑day events changes stakeholder acceptance and practical adoption of innovations in German organic farming. We use a matched survey design: attendees at organic field days are surveyed and compared to matched non‑attendee farms drawn from registries, combined with a 10–15% validation subsample that collects on‑farm measurements (yield, soil organic carbon, receipts). Primary contributions are (1) a causal estimation strategy for field‑day exposure that combines matching, inverse‑probability weighting, and candidate instrumental variables; (2) a preplanned validation and measurement‑error correction pipeline (regression‑calibration and SIMEX) that links self‑reports to measured outcomes; and (3) reproducible data governance with preregistration and staged controlled releases. Expected outcomes are unbiased estimates of field‑day effects on adoption and agronomic outcomes, calibrated self‑report correction factors, and policy‑relevant guidance on which innovations have the highest acceptance and development potential.</w:t>
      </w:r>
    </w:p>
    <w:p>
      <w:r>
        <w:t xml:space="preserve"> </w:t>
      </w:r>
    </w:p>
    <w:p>
      <w:pPr>
        <w:pStyle w:val="Heading2"/>
      </w:pPr>
      <w:r>
        <w:t>Experiments</w:t>
      </w:r>
    </w:p>
    <w:p>
      <w:r>
        <w:t>Datasets: (A) Baseline survey of field‑day attendees at organic field days in Germany and matched non‑attendees drawn from IACS/organic certification lists; target recruited N=2,500 (allowing ~20% attrition for effective N≈2,000); per‑stratum minimum completed farms ≥100. (B) Validation subsample n≈200–300 (10–15% stratified random sample) with on‑farm measured yield (four 1 m2 quadrats or calibrated weighbridge), soil samples (0–30 cm composite cores, SOC by LOI, mineral N KCl extraction, P/K), photographed receipts and trader confirmations. Baselines for comparison: naive difference‑in‑means; propensity‑score matching (PSM; match on location, area, crop mix, certification, labor), inverse‑probability weighting (IPW), covariate‑adjusted regression, and IV estimation using randomized invitation or distance‑to‑event as candidate instruments (IV is an estimator that uses a variable related to exposure but not directly to outcomes). Evaluation metrics: primary—ATT on 12‑month binary adoption rate (percentage‑point change) and standardized mean difference; secondary—changes in acceptance scores (Likert mean differences), yield change (t/ha), SOC change (g/kg), economic metrics (Δgross margin/ha, NPV). Validation metrics: mean bias and RMSE of farmer‑reported vs measured yields, reliability coefficient, attenuation factor. Analysis setup: stratified two‑stage cluster sampling (regions/production types then farms), cluster‑robust SEs at farm level, pre‑specified covariate set, and multiple‑testing correction (Benjamini‑Hochberg for families). Robustness checks: DiD if baseline measures available, PSM vs IPW comparison, IV estimates using randomized invitations or geographic cutoffs, and placebo outcomes. Measurement‑error ablation: estimate effects without calibration, with regression‑calibration (uses validation to adjust estimates), and with SIMEX (simulation‑extrapolation to correct bias); compare effect sizes and SEs. Power and sensitivity: produce strata‑specific power tables varying ICC (0.01–0.15) and attrition (0–30%).</w:t>
      </w:r>
    </w:p>
    <w:p>
      <w:r>
        <w:t xml:space="preserve"> </w:t>
      </w:r>
    </w:p>
    <w:p>
      <w:pPr>
        <w:pStyle w:val="Heading2"/>
      </w:pPr>
      <w:r>
        <w:t>Risk Factors And Limitations</w:t>
      </w:r>
    </w:p>
    <w:p>
      <w:r>
        <w:t>Selection bias: attendees may differ on unmeasured traits (motivation) producing confounding that matching may not fully remove. Unobserved confounding limits causal claims if IVs are weak or invalid. Validation uptake: low participation in the 10–15% subsample reduces ability to estimate measurement error and increases variance. Measurement variability: lab costs and interlab differences for SOC and nutrient assays may introduce noise (ICC and lab CV). Attrition: &gt;20% loss reduces power and may bias results. Registry access: inability to obtain IACS or certification lists restricts matched non‑attendee sampling. GDPR and consent constraints may prevent linking receipts/trader data or sharing microdata; synthetic data may be imperfect. Budget and logistics: higher lab/transport costs or field constraints can reduce sample size or QA intensity. External validity: results apply to German organic field‑day contexts and similar temperate systems but may not generalize to other countries or commercial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