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e_waste_dismantling_cf_accounting</w:t>
      </w:r>
    </w:p>
    <w:p>
      <w:r>
        <w:t xml:space="preserve"> </w:t>
      </w:r>
    </w:p>
    <w:p>
      <w:pPr>
        <w:pStyle w:val="Heading2"/>
      </w:pPr>
      <w:r>
        <w:t>Title</w:t>
      </w:r>
    </w:p>
    <w:p>
      <w:r>
        <w:t>Field-based carbon footprint accounting of China's e-waste dismantling process by linking daily electricity consumption to daily dismantling volumes</w:t>
      </w:r>
    </w:p>
    <w:p>
      <w:r>
        <w:t xml:space="preserve"> </w:t>
      </w:r>
    </w:p>
    <w:p>
      <w:pPr>
        <w:pStyle w:val="Heading2"/>
      </w:pPr>
      <w:r>
        <w:t>Short Hypothesis</w:t>
      </w:r>
    </w:p>
    <w:p>
      <w:r>
        <w:t>Linking daily facility electricity consumption to daily dismantling volumes for five e-waste types produces per-tonne carbon footprint estimates whose 95% confidence-interval half-width is ≤10% of the mean.</w:t>
      </w:r>
    </w:p>
    <w:p>
      <w:r>
        <w:t xml:space="preserve"> </w:t>
      </w:r>
    </w:p>
    <w:p>
      <w:pPr>
        <w:pStyle w:val="Heading2"/>
      </w:pPr>
      <w:r>
        <w:t>Related Work</w:t>
      </w:r>
    </w:p>
    <w:p>
      <w:r>
        <w:t>Existing studies estimate carbon footprints of e-waste using life-cycle assessment (LCA) with coarse or annualized energy and throughput data, mass- or economic-allocation rules, and often focus on formal recycling or laboratory-scale measurements. Few prior works combine on-site, time-resolved electricity metering with daily dismantling volumes across formal and informal facilities. Limitations in current approaches include (1) reliance on average or proxy energy use that masks daily variability, (2) weak attribution of fugitive emissions to specific facility activities, (3) limited propagation of measurement and method uncertainty (few use high-draw Monte Carlo or variance-based sensitivity analysis), (4) inconsistent treatment of credits for recovered materials (allocation vs system expansion), and (5) sparse inter-lab validation for POPs and low-level contaminants. These gaps reduce precision, hinder regional extrapolation, and limit policy-relevance of reported footprints.</w:t>
      </w:r>
    </w:p>
    <w:p>
      <w:r>
        <w:t xml:space="preserve"> </w:t>
      </w:r>
    </w:p>
    <w:p>
      <w:pPr>
        <w:pStyle w:val="Heading2"/>
      </w:pPr>
      <w:r>
        <w:t>Abstract</w:t>
      </w:r>
    </w:p>
    <w:p>
      <w:r>
        <w:t>We present a field-based method to account for the carbon footprint of e-waste dismantling in China by linking daily electricity consumption at dismantling facilities to daily dismantling volumes for five e-waste categories. The approach builds process-level emission factors from paired energy, throughput, material composition, and direct emissions measurements, and propagates uncertainty with Monte Carlo simulation and variance-based sensitivity analysis. Main contributions are: (1) a repeated-measures sampling design across formal large, formal small, and informal sites to quantify within- and between-site variability; (2) an attribution protocol combining upwind baselines, optional tracer releases, and plume-to-mass conversion equations; (3) pre-specified statistical models for measurement error and dependent inputs; and (4) an open, reproducible modeling workflow that supports system-expansion and alternative allocation rules. Expected outcomes are a dismantling-process carbon inventory with daily resolution and quantified uncertainty aimed at meeting a ±10% relative precision target on mean energy use per tonne, enabling robust regional aggregation and policy-relevant avoided-burden estimates.</w:t>
      </w:r>
    </w:p>
    <w:p>
      <w:r>
        <w:t xml:space="preserve"> </w:t>
      </w:r>
    </w:p>
    <w:p>
      <w:pPr>
        <w:pStyle w:val="Heading2"/>
      </w:pPr>
      <w:r>
        <w:t>Experiments</w:t>
      </w:r>
    </w:p>
    <w:p>
      <w:r>
        <w:t>Datasets: (1) Pilot: 2–3 sites per category (formal large, formal small, informal) × 3 regions (East, Central, West), 5–10 measurement days per site; collected variables: timestamped electricity (sub-hourly where possible), daily mass processed by five e-waste types (CRT glass, batteries, PCBs, mixed plastics, small appliances), equipment run-hours, fuel use, residue masses, plume concentration time-series, and laboratory chemical analyses (POPs, PBDEs, dioxins). (2) Full study target: 8–12 large, 12–20 small formal, 20–40 informal sites with repeated days per site. Baselines: (A) standard LCA using annualized facility energy and mass-based allocation; (B) mass-only and economic allocation variants; (C) national-average grid EF with no facility metering. Evaluation metrics: relative precision = (95% CI half-width)/mean, RMSE and bias of per-tonne CO2e against tracer-validated emission estimates (where tracer used), 95% CI coverage frequency, Sobol total and first-order indices (input variance share), and convergence diagnostics for Monte Carlo (stability of mean and CI at 5k/10k/20k draws). Experimental setup: implement probabilistic model with specified input distributions (lognormal for yields/EFs, beta/Dirichlet for fractions, empirical KDE for energy if n&gt;30 else normal), run Monte Carlo with 10,000 iterations; perform Morris screening to rank many inputs then compute Sobol indices on a surrogate (Gaussian Process or Polynomial Chaos) trained on 1,000–2,000 forward runs. Ablations/Comparisons: (1) Full method vs electricity-annualized baseline to quantify precision improvement; (2) Full method vs no-tracer attribution (relying on upwind baselines) to measure attribution bias; (3) System expansion vs mass allocation to quantify credit sensitivity; (4) Dependence modeling: independent sampling vs Gaussian copula parameterized from pilot empirical correlations (compare output variance and bias). Additional experiments: inter-lab ring test comparing lab-reported concentrations and LOQs across ≥5 labs; sensitivity of results to seasonal subsample (two seasons on ~20% of sites). Reproducibility: provide container image (Docker) with scripts and seed for Monte Carlo; minimum compute for surrogate training and Sobol runs: 16 CPU cores, 64 GB RAM.</w:t>
      </w:r>
    </w:p>
    <w:p>
      <w:r>
        <w:t xml:space="preserve"> </w:t>
      </w:r>
    </w:p>
    <w:p>
      <w:pPr>
        <w:pStyle w:val="Heading2"/>
      </w:pPr>
      <w:r>
        <w:t>Risk Factors And Limitations</w:t>
      </w:r>
    </w:p>
    <w:p>
      <w:r>
        <w:t>Technical measurement failures: power meters, anemometers, and open-path instruments can fail or drift, producing biased or missing time series. Attribution ambiguity: upwind background variability or complex urban wind fields can prevent confident plume-to-facility attribution; tracer deployment may be restricted by permits. Laboratory limits: LOQs for dioxins/POPs may be above environmental levels, causing non-detects and censored data bias. Statistical misspecification: wrong dependence model (e.g., ignoring covariance between throughput and energy use) can under- or over-estimate uncertainty. Sampling bias: pilot site access constraints may skew site representativeness, limiting regional extrapolation. Scalability and compute: Sobol index computation and surrogate training can be computationally heavy for high-dimensional input sets. Generalization limits: results from selected provinces and sampled seasons may not generalize to all Chinese regions or year-round patterns. Ethical and privacy constraints: operator consent and coordinate jittering reduce spatial resolution for some analyses. Regulatory and permit delays: required approvals (UAVs, tracer releases, open-burning sampling) can postpone measurements and change seasonal coverage.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