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purpose_driven_renewal_pdr</w:t>
      </w:r>
    </w:p>
    <w:p>
      <w:r>
        <w:t xml:space="preserve"> </w:t>
      </w:r>
    </w:p>
    <w:p>
      <w:pPr>
        <w:pStyle w:val="Heading2"/>
      </w:pPr>
      <w:r>
        <w:t>Title</w:t>
      </w:r>
    </w:p>
    <w:p>
      <w:r>
        <w:t>Systematic literature review and multi-method empirical design to map links between corporate purpose and strategic renewal</w:t>
      </w:r>
    </w:p>
    <w:p>
      <w:r>
        <w:t xml:space="preserve"> </w:t>
      </w:r>
    </w:p>
    <w:p>
      <w:pPr>
        <w:pStyle w:val="Heading2"/>
      </w:pPr>
      <w:r>
        <w:t>Short Hypothesis</w:t>
      </w:r>
    </w:p>
    <w:p>
      <w:r>
        <w:t>Firms that materially increase their purpose clarity exhibit greater strategic renewal activity (higher sensing, seizing, and transforming outcomes) within two years compared to similar firms that do not increase purpose clarity.</w:t>
      </w:r>
    </w:p>
    <w:p>
      <w:r>
        <w:t xml:space="preserve"> </w:t>
      </w:r>
    </w:p>
    <w:p>
      <w:pPr>
        <w:pStyle w:val="Heading2"/>
      </w:pPr>
      <w:r>
        <w:t>Related Work</w:t>
      </w:r>
    </w:p>
    <w:p>
      <w:r>
        <w:t>Existing work spans two partially separated streams: (1) corporate purpose, mission and identity research that analyzes texts and governance to describe firm aims and signaling; and (2) strategic renewal and dynamic capabilities research that studies sensing, seizing, and transforming activities that change firm direction. Methods used include qualitative case studies, cross-sectional surveys, and small-N longitudinal process tracing, plus emerging text-analysis approaches (topic models, dictionary counts). Limitations across prior approaches: fragmented literatures with weak integration; few validated, large-scale text measures of purpose clarity, embeddedness, and rigidity; limited causal identification (mostly correlational, few quasi-experimental or design-based causal tests); scarce attention to performative signaling and gaming in texts; and little practice of rigorous annotation standards or reproducible NLP pipelines. These gaps leave the causal pathway from purpose articulation to measurable renewal under-specified and vulnerable to measurement error and selection bias.</w:t>
      </w:r>
    </w:p>
    <w:p>
      <w:r>
        <w:t xml:space="preserve"> </w:t>
      </w:r>
    </w:p>
    <w:p>
      <w:pPr>
        <w:pStyle w:val="Heading2"/>
      </w:pPr>
      <w:r>
        <w:t>Abstract</w:t>
      </w:r>
    </w:p>
    <w:p>
      <w:r>
        <w:t>We address the gap between corporate purpose statements and firm-level strategic renewal by combining a systematic literature review with a pre-registered, multi-method empirical program. First, we build a reproducible corpus of corporate texts (annual reports, sustainability reports, governance documents) and produce validated NLP measures for purpose clarity (topic concentration and specificity), embeddedness (co-occurrence with governance/KPI language), and rigidity (temporal semantic stability and rhetoric-action mismatch). Second, we pilot and scale these measures across firms and test causal effects of purpose re-articulation on renewal using staggered difference-in-differences (Callaway &amp; Sant’Anna), synthetic controls, and dynamic panel estimators. We integrate qualitative process tracing from longitudinal cases to validate mechanisms and inform measurement priors. The main contribution is an open, validated measurement suite and a pre-registered identification strategy that links purpose articulation to sensing, seizing, and transforming outcomes. Expected outcomes include reproducible indices, classification models with human-validated performance, and causal estimates that clarify when and how purpose drives strategic renewal.</w:t>
      </w:r>
    </w:p>
    <w:p>
      <w:r>
        <w:t xml:space="preserve"> </w:t>
      </w:r>
    </w:p>
    <w:p>
      <w:pPr>
        <w:pStyle w:val="Heading2"/>
      </w:pPr>
      <w:r>
        <w:t>Experiments</w:t>
      </w:r>
    </w:p>
    <w:p>
      <w:r>
        <w:t>Datasets: (1) Pilot corpus: 20–40 firms, 4–6 years each, linked annual reports and governance documents. (2) Main corpus: 800–1,500 firms, 5–10 years (4,000–10,000 firm-years) of public texts; matched financials from Compustat/Orbis; country/regulatory event logs. (3) Gold-standard annotations: 800–1,000 labeled sentences/documents double-coded for clarity, embeddedness, and rigidity. Baselines: (A) no-purpose baseline (models with standard covariates only); (B) dictionary-count purpose measures; (C) LDA topic model measures; (D) manual-coded indices aggregated. NLP models and validation: preprocess (OCR, lemmatize, preserve multiword expressions), generate embeddings (sentence-BERT and multilingual XLM-R), train classifiers for re-articulation detection; evaluation metrics: precision, recall, F1 for classifiers; Krippendorff’s alpha for human codes; OOS F1 ≥ 0.75 target. Treatment detection: define re-articulation when classifier probability &gt; threshold with sustained repetition across a 2-year rolling window; report precision/recall for thresholds. Causal tests: primary design staggered DiD (Callaway &amp; Sant’Anna) estimating ATT on sensing/seizing/transforming at horizons +1, +2–3, +4 years; synthetic control for single high-impact cases; RDD where regulatory thresholds exist; dynamic panel (system GMM) for robustness. Evaluation metrics for causal estimates: ATT point estimates, clustered SEs, bootstrap CIs, placebo pre-trend p-values, Oster bounds for selection. Ablation studies: (1) remove rigidity index and re-estimate ATT; (2) compare BERTopic vs LDA topic-derived clarity; (3) vary OCR pipelines (Tesseract only vs Tesseract+cloud) and report downstream classifier F1 and causal estimate sensitivity. Pre-registration: all estimands, windows, covariates, and multiple-testing corrections locked before main analysis.</w:t>
      </w:r>
    </w:p>
    <w:p>
      <w:r>
        <w:t xml:space="preserve"> </w:t>
      </w:r>
    </w:p>
    <w:p>
      <w:pPr>
        <w:pStyle w:val="Heading2"/>
      </w:pPr>
      <w:r>
        <w:t>Risk Factors And Limitations</w:t>
      </w:r>
    </w:p>
    <w:p>
      <w:r>
        <w:t>Measurement error: OCR failures, noisy text extraction, and imperfect classifiers can bias indices; classifier errors may propagate into causal estimates. Data bias: public-text coverage favors larger firms and jurisdictions with disclosure norms, limiting generalizability to private or small firms. Selection and reverse causality: firms that choose to re-articulate may differ on unobserved trends, risking biased ATT if not fully accounted for. Performative signaling: firms may game language without substantive action, producing false-positive re-articulation detections. Power limits: subgroup heterogeneity tests (e.g., by country or industry) may be underpowered at lower sample sizes. Legal/privacy constraints: cross-jurisdiction rules (GDPR and others) may restrict use of internal documents and retention periods. Computational cost: large-scale OCR and embedding for multilingual corpora requires substantial compute and storage. Causal design limits: synthetic control and RDD apply only in specific contexts and may not generalize across all treatment timings.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