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lulc_esv_qianyang</w:t>
      </w:r>
    </w:p>
    <w:p>
      <w:r>
        <w:t xml:space="preserve"> </w:t>
      </w:r>
    </w:p>
    <w:p>
      <w:pPr>
        <w:pStyle w:val="Heading2"/>
      </w:pPr>
      <w:r>
        <w:t>Title</w:t>
      </w:r>
    </w:p>
    <w:p>
      <w:r>
        <w:t>Assessing how land use and land cover change between 2007 and 2022 alters ecosystem services value and future 2050 trajectories in Qianyang County using spatial uncertainty propagation and PLUS-model scenarios</w:t>
      </w:r>
    </w:p>
    <w:p>
      <w:r>
        <w:t xml:space="preserve"> </w:t>
      </w:r>
    </w:p>
    <w:p>
      <w:pPr>
        <w:pStyle w:val="Heading2"/>
      </w:pPr>
      <w:r>
        <w:t>Short Hypothesis</w:t>
      </w:r>
    </w:p>
    <w:p>
      <w:r>
        <w:t>Conversion of natural forest or wetland to cropland or built-up areas between 2007 and 2022 causes a statistically significant decrease in per-hectare and aggregate ecosystem services value (ESV) in Qianyang County compared with locations that did not undergo such conversions.</w:t>
      </w:r>
    </w:p>
    <w:p>
      <w:r>
        <w:t xml:space="preserve"> </w:t>
      </w:r>
    </w:p>
    <w:p>
      <w:pPr>
        <w:pStyle w:val="Heading2"/>
      </w:pPr>
      <w:r>
        <w:t>Related Work</w:t>
      </w:r>
    </w:p>
    <w:p>
      <w:r>
        <w:t>Prior studies combine land use and land cover (LULC) mapping with benefit-transfer ESV tables to estimate service values. Common approaches produce deterministic ESV maps by assigning fixed per-hectare coefficients to classes; they often ignore classification error, parameter uncertainty, and spatial dependence. Some work applies Monte Carlo (MC) resampling to propagate classification and parameter uncertainty, but typically assumes spatial independence (treating pixels as independent) which underestimates landscape-level confidence intervals. Land-change models such as PLUS, Dinamica EGO, and CLUE family simulate future LULC but are rarely coupled with formal ESV uncertainty propagation. Limitations in current methods include: (1) reliance on coarse or non-local ESV coefficients with limited documented dispersion; (2) inadequate handling of mixed pixels and per-pixel class-posteriors; (3) weak treatment of spatial autocorrelation when generating realizations; (4) inconsistent or underpowered ground validation designs; and (5) scarce integration of participatory cultural-service mapping. These gaps reduce the reliability of ESV-based planning.</w:t>
      </w:r>
    </w:p>
    <w:p>
      <w:r>
        <w:t xml:space="preserve"> </w:t>
      </w:r>
    </w:p>
    <w:p>
      <w:pPr>
        <w:pStyle w:val="Heading2"/>
      </w:pPr>
      <w:r>
        <w:t>Abstract</w:t>
      </w:r>
    </w:p>
    <w:p>
      <w:r>
        <w:t>This study quantifies how land use and land cover (LULC) changes from 2007 to 2022 affect ecosystem services value (ESV) in Qianyang County and projects outcomes to 2050 under alternative land-change scenarios. We combine 30 m historical LULC maps, spatially independent field validation, and a Bayesian Monte Carlo pipeline that (1) propagates classification uncertainty using confusion-matrix-based per-pixel posteriors, (2) samples ESV coefficients with defined dispersion, and (3) optionally enforces spatial coherence using block-constrained resampling and conditional categorical simulation (autologistic/GMRF). We couple these uncertainty-aware maps with PLUS-model scenarios for 2050 (baseline, conservation, high-urbanization) to evaluate future ESV trajectories. Main contributions are: a formal, reproducible protocol for per-pixel ESV expectation and variance that includes spatial dependence; sensitivity analysis of coefficient dispersion and prior choices; and scenario-based ESV forecasts to inform land management. Expected outcomes are spatial ESV maps with 90% confidence intervals, quantified hotspot stability under uncertainty, and evidence on how specific LULC conversions drive changes in ecosystem value.</w:t>
      </w:r>
    </w:p>
    <w:p>
      <w:r>
        <w:t xml:space="preserve"> </w:t>
      </w:r>
    </w:p>
    <w:p>
      <w:pPr>
        <w:pStyle w:val="Heading2"/>
      </w:pPr>
      <w:r>
        <w:t>Experiments</w:t>
      </w:r>
    </w:p>
    <w:p>
      <w:r>
        <w:t>Datasets: (1) 30 m annual LULC maps for Qianyang County, 2007–2022 (project map + Sentinel-2/Landsat time series), (2) auxiliary predictors: DEM, slope, soil type, irrigation infrastructure, roads, population density, protected areas, water network, (3) field validation points stratified by class and space (see sampling plan), (4) local calibration data where available: plot biomass, crop yields, streamflow proxies. Baselines: A) deterministic ESV (single map + fixed μ_c), B) MC propagation without spatial dependence (pixels independent), C) MC with block-constrained resampling (spatial blocks), D) alternative land-change model (Dinamica EGO) for scenario comparison. Monte Carlo specs: test iterations = {1000, 5000, 10000}; default 5000. ESV coefficient sampling: parameterize μ_c via lognormal when skewed, otherwise normal; test CV = {10%, 20%, 30%}. Confusion-matrix estimation: spatial block cross-validation (5 folds) to produce P(k|c); compute per-pixel posteriors P(c|k) via Bayes using three π_c priors (map prevalence, administrative estimate, uniform). Mixed pixels: produce fractional-subpixel estimates from spectral unmixing and treat fractions as proportional class area in ESV draws. Spatial dependence: compare pixel-independent MC to block-bootstrap (block size = semivariogram range) and to conditional categorical simulation using autologistic or GMRF samplers on selected tiles. PLUS scenarios: run three 2050 scenarios (baseline continuation, conservation zoning, high-urbanization) with same predictor set. Metrics: aggregated county ESV mean and 90% CI width, per-class contribution, hotspot overlap (top 10% ESV area) and probability of hotspot, producer/user accuracy per class, overall Kappa, Moran's I of residuals, stabilization of map mean and 90% CI with iterations, and sensitivity elasticity for π_c and CV. Experimental setup: implement preprocessing and prototype classification in Google Earth Engine; run MC and spatial simulations in Python/R on HPC; default MC = 5000 realizations; perform ablation studies: (i) remove spatial dependence; (ii) vary CV levels; (iii) vary priors π_c; (iv) vary MC iterations to measure convergence of means and 90% CIs.</w:t>
      </w:r>
    </w:p>
    <w:p>
      <w:r>
        <w:t xml:space="preserve"> </w:t>
      </w:r>
    </w:p>
    <w:p>
      <w:pPr>
        <w:pStyle w:val="Heading2"/>
      </w:pPr>
      <w:r>
        <w:t>Risk Factors And Limitations</w:t>
      </w:r>
    </w:p>
    <w:p>
      <w:r>
        <w:t>1) Data bias: ESV coefficients are benefit-transferred and may not reflect local biophysical or socio-economic conditions, producing systematic bias. 2) Validation limits: field sample size or spatial coverage may be insufficient for rare classes, reducing confidence in confusion matrices. 3) Mixed pixels: spectral unmixing errors introduce bias in fractional ESV allocation. 4) Spatial models: conditional categorical samplers (autologistic/GMRF) may not converge or may require heavy tuning; their priors can influence results. 5) Computational cost: block-constrained MC and conditional simulations at 30 m over a county scale require substantial CPU/RAM and may be slow. 6) Scenario uncertainty: PLUS-model projections depend on predictor choice and socio-economic assumptions; results are conditional, not predictive certainties. 7) Aggregation errors: per-pixel covariance among multiple ecosystem service coefficients (if services are correlated) is difficult to estimate and may understate total uncertainty. 8) Stakeholder/ethical limits: participatory cultural-service mapping may not capture all community views and has consent/data-governance requirements that constrain reuse. 9) Generalization: methods tuned to Qianyang's terrain and data may not transfer without reparameterization to other regions.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