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dvt_prophylaxis_motivation_scale</w:t>
      </w:r>
    </w:p>
    <w:p>
      <w:r>
        <w:t xml:space="preserve"> </w:t>
      </w:r>
    </w:p>
    <w:p>
      <w:pPr>
        <w:pStyle w:val="Heading2"/>
      </w:pPr>
      <w:r>
        <w:t>Title</w:t>
      </w:r>
    </w:p>
    <w:p>
      <w:r>
        <w:t>Development and validation of a protection-motivation-theory-based scale to predict postdischarge DVT prophylaxis adherence after hip and knee arthroplasty</w:t>
      </w:r>
    </w:p>
    <w:p>
      <w:r>
        <w:t xml:space="preserve"> </w:t>
      </w:r>
    </w:p>
    <w:p>
      <w:pPr>
        <w:pStyle w:val="Heading2"/>
      </w:pPr>
      <w:r>
        <w:t>Short Hypothesis</w:t>
      </w:r>
    </w:p>
    <w:p>
      <w:r>
        <w:t>Higher scores on the developed protection-motivation-theory-based motivation scale at discharge cause a higher probability of achieving pharmacologic or mechanical DVT prophylaxis adherence (PDC ≥ 80% at 30 days) after hip or knee arthroplasty, independent of prespecified clinical covariates.</w:t>
      </w:r>
    </w:p>
    <w:p>
      <w:r>
        <w:t xml:space="preserve"> </w:t>
      </w:r>
    </w:p>
    <w:p>
      <w:pPr>
        <w:pStyle w:val="Heading2"/>
      </w:pPr>
      <w:r>
        <w:t>Related Work</w:t>
      </w:r>
    </w:p>
    <w:p>
      <w:r>
        <w:t>Existing work includes general medication adherence questionnaires, single-domain self-efficacy or health-belief items, and some protection-motivation-theory (PMT) instruments used in other conditions. Common approaches measure behavior via pharmacy claims, patient self-report, or electronic monitoring (MEMS). Limitations: (1) no widely used, theory-grounded short scale specifically targeting motivation for post-arthroplasty DVT prophylaxis; (2) many adherence instruments lack modern psychometric validation (item response theory, invariance testing) and are not tested across languages or procedure types; (3) objective adherence measures are often used alone and are costly or partial (claims show persistence but not timing; MEMS shows timing but not ingestion); (4) prior predictive studies on VTE are underpowered because symptomatic VTE is rare. These gaps leave clinical teams without a validated, brief motivation measure that is reliable, invariant across subgroups, and proven to predict objectively measured prophylaxis adherence.</w:t>
      </w:r>
    </w:p>
    <w:p>
      <w:r>
        <w:t xml:space="preserve"> </w:t>
      </w:r>
    </w:p>
    <w:p>
      <w:pPr>
        <w:pStyle w:val="Heading2"/>
      </w:pPr>
      <w:r>
        <w:t>Abstract</w:t>
      </w:r>
    </w:p>
    <w:p>
      <w:r>
        <w:t>We address the need for a brief, theory-based instrument that predicts adherence to pharmacologic and mechanical deep vein thrombosis (DVT) prophylaxis after discharge from hip or knee arthroplasty. We will generate candidate items using protection motivation theory, patient interviews, and expert input, then evaluate psychometric properties and predictive validity in a mixed-methods design. The core approach is: (1) reduce items with exploratory factor analysis (EFA) and item response theory (IRT); (2) confirm structure with confirmatory factor analysis (CFA) and test measurement invariance across procedure type and language; (3) validate predictive performance for 30-day adherence (primary outcome: proportion of days covered, PDC ≥ 80%) using penalized logistic regression with cross-validation and a nested electronic-monitoring (MEMS) calibration substudy; (4) assess secondary associations with 90-day persistence and adjudicated symptomatic VTE. The main contribution is a concise (5–12 item) PMT-based motivation scale with scoring rules, validated psychometric properties, cutpoints informed by decision-curve analysis, and a calibration method to harmonize objective adherence measures. Expected impact: a reproducible, clinically actionable tool to triage postdischarge patients for adherence support.</w:t>
      </w:r>
    </w:p>
    <w:p>
      <w:r>
        <w:t xml:space="preserve"> </w:t>
      </w:r>
    </w:p>
    <w:p>
      <w:pPr>
        <w:pStyle w:val="Heading2"/>
      </w:pPr>
      <w:r>
        <w:t>Experiments</w:t>
      </w:r>
    </w:p>
    <w:p>
      <w:r>
        <w:t>Datasets: multisite observational cohorts of elective primary hip and knee arthroplasty patients. Development cohort n = 500 (sites A,B), external temporal/geographic validation cohort n = 300 (site C and later time window). MEMS calibration substudy: stratified random sample of 10–20% of development cohort (target n = 80, stratified by procedure type and language). Follow-up windows: 0–30 days (primary), 0–90 days (secondary). Baselines: (1) demographic/clinical model only (age, sex, BMI, prior VTE, cancer, inpatient prophylaxis, discharge anticoagulant, mobility, discharge destination, site), (2) generic medication-adherence questionnaire score, (3) single-item self-efficacy measure. Evaluation metrics: discrimination = AUC (ROC) with 95% CI; calibration = calibration intercept and slope and calibration plots; overall = Brier score; clinical utility = decision-curve net benefit; classification = sensitivity, specificity, PPV, NPV at prespecified cutpoints; reliability = Cronbach’s alpha and McDonald’s omega; test–retest = ICC over 7–14 days; IRT parameters = item discrimination and thresholds; model performance for time-to-event VTE = cause-specific hazard ratios, C-index. Preprocessing: ordinal items treated as ordered; missing data handled by multiple imputation by chained equations (MICE) with m = 20 imputations. Psychometric pipeline: EFA with polychoric correlations and parallel analysis to select factor number; CFA with WLSMV estimator for ordinal data; measurement invariance via multi-group CFA (configural, metric, scalar; invariance threshold ΔCFI ≤ 0.01). IRT: graded response model to inspect item information and thresholds. Scoring: derive both simple summative score and IRT-based theta. Predictive modeling: elastic-net penalized logistic regression for binary adherence (PDC ≥ 80%) with alpha = 0.5 (balance L1 and L2 penalties), repeated 10-fold cross-validation (10 folds × 5 repeats) for penalty tuning; choose lambda by the 1-SE rule (largest lambda within one standard error of minimum cross-validated loss). Refit selected variables in an unpenalized logistic model for interpretability. Measurement-error calibration: structural equation model (latent adherence) combining MEMS (timing), pharmacy claims (persistence), and nurse logs; use latent score as outcome in sensitivity analysis. Ablation studies: (A) full pipeline (PMT scale + MEMS calibration + elastic-net), (B) remove MEMS calibration (claims-only), (C) use summative score instead of IRT/latent score, (D) demographic model only. Compare AUC, calibration, net benefit across ablations. Sensitivity analyses: MNAR tipping-point analyses on missing outcome data; cluster-adjusted models (clustered SEs and mixed-effects model) to assess site dependence.</w:t>
      </w:r>
    </w:p>
    <w:p>
      <w:r>
        <w:t xml:space="preserve"> </w:t>
      </w:r>
    </w:p>
    <w:p>
      <w:pPr>
        <w:pStyle w:val="Heading2"/>
      </w:pPr>
      <w:r>
        <w:t>Risk Factors And Limitations</w:t>
      </w:r>
    </w:p>
    <w:p>
      <w:r>
        <w:t>Low event rate for symptomatic VTE limits power to detect associations and may force VTE analyses to be exploratory or pooled across many sites. MEMS devices can be lost, not returned, or not used correctly, reducing calibration sample effective size. Pharmacy claims and EHR linkage can be incomplete or delayed, causing measurement gaps. Missing data may be MNAR (patients with low motivation less likely to respond), biasing results. Cross-site heterogeneity (clinical practice, discharge regimens) and within-site clustering can reduce generalizability and require larger samples. Translation and cultural differences may produce noninvariance, limiting applicability in some subgroups. Overfitting risk with many candidate predictors if penalization or validation is inadequate. Resource constraints (cost of MEMS, staff for adjudication) can limit nested substudy size and follow-up completeness. Computational limits are modest but present for bootstrap and repeated CV when running IRT+SEM pipelines on large multiply imputed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