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optimal_bank_capital_tradeoff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structural trade-off corporate finance model combining cost-of-leverage and Merton credit-risk simulations to compute optimal bank capital requirements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one percentage-point increase in bank common equity (CET1) causally reduces bank failure probability and expected taxpayer bailout costs while increasing banks' weighted-average cost of capital (WACC), producing a non-monotonic social welfare response with an interior optimal CET1 level.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split into (1) corporate finance trade-off models that balance tax shields and distress costs but often ignore bank-specific liquidity premia and systemic externalities; (2) cost-of-leverage adjusted frameworks (e.g., Fernandez-style) that quantify debt benefits/costs but typically treat liquidity effects and resolution policies as exogenous; (3) structural credit-risk (Merton-type) models that map balance-sheet leverage into default probabilities but omit endogenous franchise value, bailout expectations, and fire-sale/contagion channels; and (4) reduced-form empirical studies using regulatory timing (Basel transposition) or event studies to estimate capital impacts but that rarely map reduced-form estimates into a calibrated social-welfare function. Limitations across the literature include weak integration of liquidity premia and resolution policy, incomplete treatment of network contagion and fire-sale externalities, limited latent-variable identification for franchise value and bailout probability, sparse uncertainty quantification (UQ) linking reduced-form LATEs to welfare counterfactuals, and weak-instrument or staggered-adoption inference concerns in empirical work.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builds a structural, testable model that quantifies how bank equity (CET1) affects funding costs and social welfare by integrating a cost-of-leverage specification with Merton-style credit-risk simulations (Merton model: a structural model that links asset values and volatility to default probability). The model adds a liquidity premium on debt, an explicit franchise-value term, and a bailout-probability function responsive to size and interconnectedness. We calibrate using bank-level balance sheets, loan-level credit parameters, market spreads (CDS and bond yields), and regulatory policy timing. Identification exploits quasi-experimental variation (staggered Basel adoption, risk-weight shocks, court rulings) to recover reduced-form effects of capital that are then mapped into welfare via Bayesian Monte Carlo propagation of structural-parameter uncertainty. Main contributions: (1) a unified framework marrying trade-off corporate finance and structural default risk with liquidity and policy channels, (2) a reproducible mapping from instrumented capital changes to welfare metrics, and (3) probabilistic policy rankings with sensitivity analysis. Expected outcome: actionable, uncertainty-aware estimates of optimal capital bands across bank types and jurisdictions.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quarterly bank-level panel (2000–2020) of balance sheets and income statements from supervisory filings and commercial databases; regulatory event calendar (Basel III transposition dates, G-SIB surcharge schedules, resolution-law changes); market prices: CDS spreads, senior unsecured bond yields, uninsured-debt premia; loan-level PD/LGD/EAD time series from supervisory or syndicated-loan datasets; fiscal records of bailouts/resolution costs; macro series (GDP, credit-to-GDP). Baselines: (A) Fernandez-style cost-of-leverage only (no Merton PDs), (B) pure Merton structural model without liquidity premium or franchise-value heterogeneity, (C) reduced-form IV estimates mapping capital to outcomes without structural welfare mapping. Model calibration: Bayesian Monte Carlo with priors anchored to historical moments (default rates, fiscal bailout costs, market-to-book). Identification tests: first-stage regressions Capital_it = α_i + δ_t + β·Instrument_it + X_itγ with instruments: staggered Basel adoption indicator, risk-weight change × asset-share, and resolution-law shocks; report F-stat, partial R2, AR and LIML. Experimental comparisons: compute counterfactual welfare ΔW under CET1 = {6%,8%,10%,12%} and leverage floors, comparing baselines A–C. Evaluation metrics: ΔW (social-welfare units per 1 pp CET1), failure probability (PD), expected taxpayer cost, bank WACC (weighted-average cost of capital), lending growth elasticity, posterior credible intervals (50/90%), and Sobol sensitivity indices (variance share by parameter). Ablations: remove liquidity premium, remove franchise-value heterogeneity, remove contagion/fire-sale modules; compare changes in ∂W/∂CET1 and posterior tail risk. Validation episodes: out-of-sample simulation of 2008 US/TARP, Spain 2012, and Sweden 1990s episodes and event-study placebo windows (pre-trend −8 to −1 quarters). Reporting: provide first-stage diagnostics, AR/LIML robustness, Conley plausible-exogeneity grids, and Monte-Carlo seeds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Latent-factor non-identification: franchise value (Φ) and bailout probability (p_bailout) may be weakly identified if proxies (market-to-book, CDS, deposit shares) are noisy. Instrumental weakness: staggered-policy instruments may produce weak first stages or correlate with unobserved macro shocks (endogeneity). Measurement bias: cross-country accounting differences, survivorship bias, and CDS liquidity issues can bias PD and spread inputs. Model misspecification: chosen functional forms for distress cost, franchise curvature, or liquidity premium may misrepresent true nonlinearity, leading to biased ∂W/∂Capital. Aggregation and spillovers: mapping bank-level LATEs to system-wide welfare ignores complex network spillovers if contagion module is misspecified. Computational cost: Bayesian Monte Carlo with nested Merton simulations and Sobol indices requires high compute (HPC) and may limit sensitivity grid resolution. Generalizability: calibrated priors and results may not transfer across countries with different resolution regimes, market structures, or tax systems. Finite-sample inference: small cluster counts or short panels can reduce reliability of staggered-DiD and IV inference.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