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csat_revenue_sustained_effect</w:t>
      </w:r>
    </w:p>
    <w:p>
      <w:r>
        <w:t xml:space="preserve"> </w:t>
      </w:r>
    </w:p>
    <w:p>
      <w:pPr>
        <w:pStyle w:val="Heading2"/>
      </w:pPr>
      <w:r>
        <w:t>Title</w:t>
      </w:r>
    </w:p>
    <w:p>
      <w:r>
        <w:t>Estimating the sustained effect of customer satisfaction on individual bank revenue using staggered difference-in-differences, instrumental variables, and dynamic panel methods</w:t>
      </w:r>
    </w:p>
    <w:p>
      <w:r>
        <w:t xml:space="preserve"> </w:t>
      </w:r>
    </w:p>
    <w:p>
      <w:pPr>
        <w:pStyle w:val="Heading2"/>
      </w:pPr>
      <w:r>
        <w:t>Short Hypothesis</w:t>
      </w:r>
    </w:p>
    <w:p>
      <w:r>
        <w:t>A one-point increase in an individual's latent customer satisfaction score causes a positive and sustained increase in that individual's bank revenue over the subsequent 12 months.</w:t>
      </w:r>
    </w:p>
    <w:p>
      <w:r>
        <w:t xml:space="preserve"> </w:t>
      </w:r>
    </w:p>
    <w:p>
      <w:pPr>
        <w:pStyle w:val="Heading2"/>
      </w:pPr>
      <w:r>
        <w:t>Related Work</w:t>
      </w:r>
    </w:p>
    <w:p>
      <w:r>
        <w:t>Existing approaches to estimate satisfaction-to-revenue effects include difference-in-differences (DiD) variants for staggered adoption, event-study corrections, instrumental-variable (IV) strategies, dynamic panel estimators, and machine-learning heterogeneity methods. Staggered-DiD (two-way fixed effects) is simple but can produce biased or negative-weighted estimates when treatment timing and effects vary across cohorts; event-study corrections (which adjust the DiD event-time coefficients) address some dynamic heterogeneity but still rely on parallel trends assumptions. IV designs can identify local causal effects when instruments are valid, but they are vulnerable to weak instruments and hard-to-justify exclusion restrictions. Dynamic-panel methods (GMM) handle lagged outcomes and feedback but can suffer from small-T bias and instrument proliferation. Measurement-error corrections (e.g., SIMEX, latent-factor models or IRT) reduce attenuation bias but require validation. Causal forests provide nonparametric heterogeneous effect discovery but need a confirmatory holdout and multiplicity control. Limitations across methods include sensitivity to unobserved time-varying confounders, instrument invalidity, measurement error in satisfaction, zero-inflated or heavy-tailed revenue distributions, limited cluster counts for valid inference, and gaps between discovery and confirmatory testing.</w:t>
      </w:r>
    </w:p>
    <w:p>
      <w:r>
        <w:t xml:space="preserve"> </w:t>
      </w:r>
    </w:p>
    <w:p>
      <w:pPr>
        <w:pStyle w:val="Heading2"/>
      </w:pPr>
      <w:r>
        <w:t>Abstract</w:t>
      </w:r>
    </w:p>
    <w:p>
      <w:r>
        <w:t>This study quantifies whether higher customer satisfaction produces sustained revenue gains for individual retail bank customers and for how long. We use linked survey responses and objective bank records for a panel of customers to estimate month-by-month and cumulative 1–12 month treatment effects per one-point change in a latent satisfaction score. The empirical strategy combines staggered difference-in-differences (cohort-specific ATT aggregation) with Sun–Abraham style event-study corrections, IV 2SLS where exogenous timing or randomized survey windows exist, and dynamic panel GMM to model persistence. We construct a latent satisfaction index from CSAT, NPS and CES via factor analysis or graded-response IRT and apply measurement-error corrections. We pre-register pre-trend and placebo checks, cluster-robust inference (wild-cluster bootstrap if clusters are small), and a discovery→confirmation pipeline for heterogeneity (causal forest discovery, holdout confirmation). The main contribution is a fully operational, pre-registered protocol that provides reproducible ATT12 estimates, treatment dynamics, and economic NPV mappings for managerial decisions. Expected outcome: credible, auditable estimates of sustained revenue elasticity to satisfaction with quantified uncertainty.</w:t>
      </w:r>
    </w:p>
    <w:p>
      <w:r>
        <w:t xml:space="preserve"> </w:t>
      </w:r>
    </w:p>
    <w:p>
      <w:pPr>
        <w:pStyle w:val="Heading2"/>
      </w:pPr>
      <w:r>
        <w:t>Experiments</w:t>
      </w:r>
    </w:p>
    <w:p>
      <w:r>
        <w:t>Datasets: (1) Primary panel: 19,060 Swedish retail customers with linked survey item-level responses (CSAT, NPS, CES, mode, timestamp) and monthly transaction/product-level records for at least 48 months or minimum 12 months pre/post per rollout cohort. (2) Administrative tables: branch/region treatment logs, IT/upgrade schedules, staffing/training assignments, marketing campaign logs, and local macro indicators. Baselines: (A) OLS with customer and calendar fixed effects, (B) TWFE DiD, (C) Callaway &amp; Sant'Anna staggered-DiD (cohort ATT aggregation), (D) Sun &amp; Abraham event-study corrections, (E) stacked-DiD, (F) IV 2SLS using candidate instruments, (G) system GMM (Arellano–Bover/Blundell–Bond) with bias correction, (H) synthetic control/matrix-completion for region-level rollouts, (I) causal forest for heterogeneity. Preprocessing: construct latent CSAT via confirmatory factor analysis or graded-response IRT; produce monthly revenue series with log(Revenue_month+1) and level winsorized at 99th percentile; create panel indicators for adoption dates. Evaluation metrics: ATT12_per_1pt point estimate, cluster-robust standard error, 95% CI coverage, RMSE across bootstrap/simulation, first-stage F-stat and Kleibergen–Paap rk statistic, Hansen J p-value, Anderson–Rubin p-value, wild-cluster permutation p-value, power and MDE for specified ICCs, and economic NPV/IRR distributions from Monte Carlo. Experimental setup: (1) Pre-register primary outcome (ATT12_per_1pt) and secondary outcomes; (2) Run primary estimator: CS staggered-DiD with cohort weights and SA event-study diagnostics; (3) IV analysis: instrument validity plots, rolling first-stage F, 2SLS estimates, AR and CLR tests; (4) Dynamic panel: system GMM with AR(1)/AR(2) diagnostics and instrument count limits; (5) Heterogeneity: causal forest on 50% discovery split, pre-specify top K=5 subgroups, confirm in holdout with multiplicity correction (Holm for primary, BH-FDR for exploratory); (6) Retransformation ablation: compare smearing estimator, two-part model (probability of positive revenue + conditional log), and log(Revenue+1) back-transform for dollar impacts; (7) Measurement ablation: estimate ATT12 with raw CSAT, latent index, and latent+SIMEX measurement-error correction; (8) IV ablation: estimates with and without instruments, and with LIML/K-class fallback; (9) Placebo and permutation tests: random rollout dates, unrelated outcome falsifications, spatial spillover checks; (10) Monte Carlo validation: simulate scenarios (weak IV, measurement error, attrition, spillovers, cluster imbalance) and report bias, coverage, RMSE, and power. All analyses use clustered inference (two-way when feasible) and wild-cluster bootstrap when cluster counts &lt;50.</w:t>
      </w:r>
    </w:p>
    <w:p>
      <w:r>
        <w:t xml:space="preserve"> </w:t>
      </w:r>
    </w:p>
    <w:p>
      <w:pPr>
        <w:pStyle w:val="Heading2"/>
      </w:pPr>
      <w:r>
        <w:t>Risk Factors And Limitations</w:t>
      </w:r>
    </w:p>
    <w:p>
      <w:r>
        <w:t>Instrument invalidity: candidate instruments may violate exclusion restrictions if they affect revenue through channels other than satisfaction. Weak instruments: low first-stage strength can produce biased IV estimates and invalid inference. Measurement error: survey nonresponse, mode bias, and latent-score mis-specification can attenuate estimates. Attrition and non-compliance: differential drop-out or nonresponse may bias ITT estimates. Staggered-timing bias: heterogeneous dynamic effects can induce negative weighting in naive TWFE estimators. Small or imbalanced clusters: too few treated units or clusters undermines asymptotic SEs and may require resampling inference with limited reliability. Zero-inflation and heavy tails: many zero or extreme monthly revenue values complicate retransformation and bias back-transformed effects. External validity: results from Swedish retail customers may not generalize to other countries, product mixes, or time periods. Computational cost and stability: system GMM, causal forests, and Monte Carlo validation require substantial compute and careful tuning; instability may occur with many instruments or highly correlated regressors. Privacy and governance: access to linked PII and transaction data imposes strict legal and operational constraints that may limit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