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maternal_role_igmob_latam</w:t>
      </w:r>
    </w:p>
    <w:p>
      <w:r>
        <w:t xml:space="preserve"> </w:t>
      </w:r>
    </w:p>
    <w:p>
      <w:pPr>
        <w:pStyle w:val="Heading2"/>
      </w:pPr>
      <w:r>
        <w:t>Title</w:t>
      </w:r>
    </w:p>
    <w:p>
      <w:r>
        <w:t>Estimating intergenerational mobility in five Latin American countries using joint-parent education and occupation measures with sibling fixed effects and instrumental-variable identification</w:t>
      </w:r>
    </w:p>
    <w:p>
      <w:r>
        <w:t xml:space="preserve"> </w:t>
      </w:r>
    </w:p>
    <w:p>
      <w:pPr>
        <w:pStyle w:val="Heading2"/>
      </w:pPr>
      <w:r>
        <w:t>Short Hypothesis</w:t>
      </w:r>
    </w:p>
    <w:p>
      <w:r>
        <w:t>Including maternal education and occupation in joint-parent models causes a statistically significant increase in explained variation of children's adult education and income ranks compared with models that use paternal measures alone.</w:t>
      </w:r>
    </w:p>
    <w:p>
      <w:r>
        <w:t xml:space="preserve"> </w:t>
      </w:r>
    </w:p>
    <w:p>
      <w:pPr>
        <w:pStyle w:val="Heading2"/>
      </w:pPr>
      <w:r>
        <w:t>Related Work</w:t>
      </w:r>
    </w:p>
    <w:p>
      <w:r>
        <w:t>Existing work on intergenerational mobility typically estimates rank–rank slopes or log-earnings elasticities using one parent or a single socioeconomic proxy (education or occupation). Common identification strategies include OLS baseline regressions, sibling fixed effects (which control for family-level unobserved factors by comparing siblings), and instrumental variables (IVs) such as schooling reforms or local shocks. Measurement-error corrections (latent-factor models, SIMEX) and administrative linkages have been used in some recent studies. Limitations remain: many studies rely on paternal or single-parent measures and so understate maternal contributions; IVs are often weak or not validated across contexts; measurement error in parental income and mediators is under-addressed; selection (non-co-residence, attrition) is frequently only partially modeled; and cross-country harmonization and pooling decisions are not standardized. Qualitative integration and geospatial privacy practices are also inconsistent, limiting interpretation and policy relevance.</w:t>
      </w:r>
    </w:p>
    <w:p>
      <w:r>
        <w:t xml:space="preserve"> </w:t>
      </w:r>
    </w:p>
    <w:p>
      <w:pPr>
        <w:pStyle w:val="Heading2"/>
      </w:pPr>
      <w:r>
        <w:t>Abstract</w:t>
      </w:r>
    </w:p>
    <w:p>
      <w:r>
        <w:t>This study measures how much mothers contribute to intergenerational transmission of education and adult income rank in Brazil, Chile, Ecuador, Mexico, and Panama. We harmonize parental education and occupation into joint-family socioeconomic measures and estimate rank–rank slopes and log-earnings elasticities for children aged 30–40. Estimators include baseline OLS, joint-parent regressions, sibling fixed effects (which compare siblings to remove family-level confounders), and instrumental-variable designs using candidate instruments like grandparent characteristics and cohort schooling reforms. We implement measurement-error corrections (SIMEX and structural equation models) and prespecify weak-IV estimators (LIML, Fuller) and diagnostics. The main contribution is a cross-country, temporal assessment of how informative maternal versus paternal measures are, plus mediation analysis of maternal channels (prenatal health, time investments, labor supply). Expected outcomes are precise, comparable estimates of maternal informativeness, diagnostics on robustness to measurement error and selection, and policy-relevant effect-size benchmarks for interventions targeting maternal inputs.</w:t>
      </w:r>
    </w:p>
    <w:p>
      <w:r>
        <w:t xml:space="preserve"> </w:t>
      </w:r>
    </w:p>
    <w:p>
      <w:pPr>
        <w:pStyle w:val="Heading2"/>
      </w:pPr>
      <w:r>
        <w:t>Experiments</w:t>
      </w:r>
    </w:p>
    <w:p>
      <w:r>
        <w:t>Datasets: country survey and administrative linkages per country: Brazil (PNAD/PNAD Contínua, RAIS, INSS), Chile (CASEN, tax/social security registries), Mexico (ENIGH, ENOE, IMSS/tax where available), Ecuador (national household surveys + admin where available), Panama (household surveys + admin), plus DHS for maternal histories and IPUMS/census microdata. Sample: individuals age 30–40 at outcome measurement; construct parent-child dyads and sibling panels when available. Baselines: (A) OLS using paternal education only, (B) OLS using maternal education only, (C) joint-parent OLS with both parents' education and occupation, (D) sibling fixed effects (within-family), (E) IV (2SLS) using candidate instruments. Alternative estimators and diagnostics: LIML and Fuller estimators, Anderson–Rubin (AR) and conditional likelihood ratio tests, weak-IV-adjusted confidence intervals, partial R-squared and first-stage F. Measurement-error corrections: SIMEX (simulation-extrapolation) and structural equation models (SEM) to estimate latent permanent income. Evaluation metrics: rank–rank slope, log-earnings elasticity, R-squared change from adding maternal measures, within-family coefficient differences, first-stage F and partial R2, bias/attenuation estimates under simulated reliabilities, and CI coverage. Experimental setup: harmonize ISCED/ISCO codes and income definitions; control set: birth cohort, sex, urban/rural, region fixed effects, household size; cluster SEs at community or PSU level depending on survey frame; apply survey weights in all estimators. Ablations and comparisons: (1) compare joint-parent vs paternal-only OLS to measure incremental explained variance; (2) compare 2SLS vs LIML vs Fuller under weak-instrument simulations; (3) drop occupation or drop education to test which parental proxy drives results; (4) inject simulated measurement error into parental income/time-use to evaluate correction performance; (5) pooling ablation: estimate country-specific models and then a random-slope multilevel model (Bayesian or REML) to test pooling decision rules. Power and sample requirements: run simulation sweeps varying ICCs, sibling counts, effect sizes (rank slope changes 0.02–0.08), and parental reliability to produce minimum sibling-pair thresholds and IV sample-size needs. Pre-specified reporting rules: only report IV causal estimates when first-stage F &gt;= 10 (preferably &gt;20) and AR tests do not reject instrument validity.</w:t>
      </w:r>
    </w:p>
    <w:p>
      <w:r>
        <w:t xml:space="preserve"> </w:t>
      </w:r>
    </w:p>
    <w:p>
      <w:pPr>
        <w:pStyle w:val="Heading2"/>
      </w:pPr>
      <w:r>
        <w:t>Risk Factors And Limitations</w:t>
      </w:r>
    </w:p>
    <w:p>
      <w:r>
        <w:t>Data access and linkage: delays or denial of administrative linkages and restrictive DUAs may reduce sample sizes or bias samples. Linkage quality: incorrect parent–child matches or missing parent links can bias estimates. Measurement error: parental income, maternal time use, and health mediators may be noisy; correction methods require validation subsamples that may be small. Weak instruments: candidate IVs may have low first-stage strength or violate exclusion, limiting causal claims. Selection bias: nonrandom co-residence, selective migration, fertility, and attrition may compromise generalizability. Small-cluster inference: few clusters or PSUs in some countries may invalidate standard cluster-robust SEs. Pooling limits: heterogeneity across countries may make pooled estimates misleading. Mediation identification: sequential ignorability or instrumented mediation assumptions may not hold, limiting causal interpretation of mediator effects. Privacy constraints: geospatial masking and k-anonymity requirements may reduce the granularity of contextual analysis. Compute and reproducibility: large harmonized datasets and complex simulations require substantial compute and careful versioning, which may constrain iteration.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