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ecb_climate_eventstudy</w:t>
      </w:r>
    </w:p>
    <w:p>
      <w:r>
        <w:t xml:space="preserve"> </w:t>
      </w:r>
    </w:p>
    <w:p>
      <w:pPr>
        <w:pStyle w:val="Heading2"/>
      </w:pPr>
      <w:r>
        <w:t>Title</w:t>
      </w:r>
    </w:p>
    <w:p>
      <w:r>
        <w:t>Event-study and staggered-difference-in-differences analysis of ECB climate-related announcements on European banks' stock returns</w:t>
      </w:r>
    </w:p>
    <w:p>
      <w:r>
        <w:t xml:space="preserve"> </w:t>
      </w:r>
    </w:p>
    <w:p>
      <w:pPr>
        <w:pStyle w:val="Heading2"/>
      </w:pPr>
      <w:r>
        <w:t>Short Hypothesis</w:t>
      </w:r>
    </w:p>
    <w:p>
      <w:r>
        <w:t>ECB climate-related announcements cause statistically significant abnormal stock returns for banks with higher climate-related exposures than for banks with lower exposures within narrow event windows.</w:t>
      </w:r>
    </w:p>
    <w:p>
      <w:r>
        <w:t xml:space="preserve"> </w:t>
      </w:r>
    </w:p>
    <w:p>
      <w:pPr>
        <w:pStyle w:val="Heading2"/>
      </w:pPr>
      <w:r>
        <w:t>Related Work</w:t>
      </w:r>
    </w:p>
    <w:p>
      <w:r>
        <w:t>Prior work uses event-study methods to measure asset price reactions to policy and climate news and applies difference-in-differences (DiD) or staggered-DiD to handle timing differences across units. Other studies use intraday jump detection (market-based surprise) and text analysis (NLP) to quantify announcement surprise. Heterogeneous treatment effect (HTE) methods such as causal forests are used to explore cross-sectional variation. Limitations include: (1) standard two-way fixed-effect DiD can be biased when treatment timing varies across units (this motivates staggered estimators), (2) event-study analyses often rely on daily windows and miss intraday dynamics, (3) exposure metrics (carbon intensity, fossil-fuel shares) are noisy and induce attenuation bias, (4) text classifiers can mis-measure surprise and their errors can propagate into causal estimates, (5) IV strategies in the literature often face weak exclusion restrictions. These gaps leave unresolved issues in credible identification, intraday surprise measurement, measurement-error correction, and robust HTE estimation.</w:t>
      </w:r>
    </w:p>
    <w:p>
      <w:r>
        <w:t xml:space="preserve"> </w:t>
      </w:r>
    </w:p>
    <w:p>
      <w:pPr>
        <w:pStyle w:val="Heading2"/>
      </w:pPr>
      <w:r>
        <w:t>Abstract</w:t>
      </w:r>
    </w:p>
    <w:p>
      <w:r>
        <w:t>We study how ECB climate-related communications affect stock returns of listed European banks. Using a high-frequency event-study design combined with a staggered difference-in-differences estimator, we measure abnormal returns in narrow intraday and multi-day windows around official ECB releases. We construct three pre-registered bank exposure metrics (carbon intensity per EUR lending, fossil-fuel lending share, and a geography-weighted physical-risk index) and two surprise measures (market-implied intraday jumps and an NLP-based textual surprise). Main contributions are: (1) integrated intraday and staggered-DiD inference to handle heterogeneous announcement timing, (2) joint use of market and text surprises to separate channels, (3) measurement-error correction (SIMEX) and IV-robust checks, and (4) honest HTE estimation with causal forests. Expected outcomes are precise estimates of direction and magnitude of announcement effects across bank types, a validated surprise construction pipeline, and reproducible code/data artifacts for replication.</w:t>
      </w:r>
    </w:p>
    <w:p>
      <w:r>
        <w:t xml:space="preserve"> </w:t>
      </w:r>
    </w:p>
    <w:p>
      <w:pPr>
        <w:pStyle w:val="Heading2"/>
      </w:pPr>
      <w:r>
        <w:t>Experiments</w:t>
      </w:r>
    </w:p>
    <w:p>
      <w:r>
        <w:t>Datasets: (1) Intraday and daily equity prices for listed European banks (licensed vendors: Refinitiv/ICE/QuantQuote); (2) bank fundamentals and balance-sheet mappings (Orbis/Bankscope); (3) borrower-level emissions and sector mappings (CDP/Eikon/Trucost, Reclaim Finance exposures); (4) regional climate-vulnerability indices (ND-GAIN, MunichRE); (5) ECB announcement texts and official timestamps; (6) sovereign yields and funding-spread series for mechanism checks. Baselines: (A) classical event-study with market model abnormal returns; (B) Sun &amp; Abraham event-study estimator (accounts for staggered timing); (C) two-way fixed effects DiD (naive); (D) null placebo. Primary causal estimator: Callaway &amp; Sant’Anna staggered-DiD (group-time ATT). Evaluation metrics: abnormal return (AR) and cumulative abnormal return (CAR) in windows ±10min, ±30min, day0, ±1d, ±10d; ATT point estimates with 95% CIs; BH-FDR adjusted p-values for families; classifier AUC and Brier score; first-stage F-stat for IVs; minimum detectable effect (MDE) and power curves from Monte Carlo. Experimental setup: apply microstructure filters (mid-quote returns, winsorize 0.5/99.5 percentile, exclude quotes with spread&gt;5%, require 30-day avg volume≥EUR20k), anchor to UTC press-conference minute, two-way clustering by bank × event-day, 10-min block bootstrap for intraday robustness, wild-cluster bootstrap for &lt;40 events. Measurement-error correction: SIMEX grid λ∈{0.5,1.0,1.5,2.0} with 200 sims per λ and 500 bootstrap draws for CIs. Classifier: train on ≥1000 annotated ECB texts, report AUC/Brier, and provide SHAP token importances. HTE: causal forests with 30% holdout (features: size, leverage, ROA, sovereign exposure, liquidity, country vulnerability). Ablations/Comparisons: (1) use text-only surprise vs market-only surprise vs combined; (2) exposures as continuous vs decile ranks; (3) include vs exclude IVs; (4) sensitivity to clustering window 24/48/72 hours; (5) microstructure thresholds (volume/spread) varied. Report full replication artifacts and MDE tables.</w:t>
      </w:r>
    </w:p>
    <w:p>
      <w:r>
        <w:t xml:space="preserve"> </w:t>
      </w:r>
    </w:p>
    <w:p>
      <w:pPr>
        <w:pStyle w:val="Heading2"/>
      </w:pPr>
      <w:r>
        <w:t>Risk Factors And Limitations</w:t>
      </w:r>
    </w:p>
    <w:p>
      <w:r>
        <w:t>IV invalidity: instruments (political-calendar, media-weather, unscheduled releases) may violate exclusion restrictions if they affect markets through other channels. Measurement error: exposure mappings from borrowers to banks and classifier mislabels can bias estimates; SIMEX may not fully correct structured errors. Limited intraday coverage: licensed tick data gaps reduce sample size and power, especially for smaller banks. Microstructure bias: thin trading, cross-listing, daylight-saving shifts, and spread-induced noise can distort minute returns. Low event counts: small number of true climate-tagged ECB announcements reduces precision and complicates bootstrap inference. Generalization limits: results apply to listed banks and may not extend to non-listed banks or other jurisdictions. Multiple testing: false positives remain possible despite FDR control when many windows/exposures are examined. Confounding: unobserved concurrent macro or firm news may imperfectly be detected by scraping and can bias ATTs.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