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eu_funds_tfp_spatial</w:t>
      </w:r>
    </w:p>
    <w:p>
      <w:r>
        <w:t xml:space="preserve"> </w:t>
      </w:r>
    </w:p>
    <w:p>
      <w:pPr>
        <w:pStyle w:val="Heading2"/>
      </w:pPr>
      <w:r>
        <w:t>Title</w:t>
      </w:r>
    </w:p>
    <w:p>
      <w:r>
        <w:t>Dynamic spatial DiD and IV analysis of EU cohesion funds' effects on regional total factor productivity growth</w:t>
      </w:r>
    </w:p>
    <w:p>
      <w:r>
        <w:t xml:space="preserve"> </w:t>
      </w:r>
    </w:p>
    <w:p>
      <w:pPr>
        <w:pStyle w:val="Heading2"/>
      </w:pPr>
      <w:r>
        <w:t>Short Hypothesis</w:t>
      </w:r>
    </w:p>
    <w:p>
      <w:r>
        <w:t>An increase in regional EU cohesion fund intensity (euros per capita) causally raises annual regional TFP growth, with effect sizes differing by fund type, programming period, and distance to treated neighbors.</w:t>
      </w:r>
    </w:p>
    <w:p>
      <w:r>
        <w:t xml:space="preserve"> </w:t>
      </w:r>
    </w:p>
    <w:p>
      <w:pPr>
        <w:pStyle w:val="Heading2"/>
      </w:pPr>
      <w:r>
        <w:t>Related Work</w:t>
      </w:r>
    </w:p>
    <w:p>
      <w:r>
        <w:t>Existing studies use panel regressions and difference-in-differences (DiD) to link EU funds to regional growth and productivity, and they often use aggregate Solow residuals or micro-based TFP measures. Recent methods recognize biased two-way fixed effects in staggered rollouts and propose cohort-aware estimators (staggered DiD and corrected event studies). Spatial econometrics (SAR/SDM) captures spillovers but faces endogeneity of spatial lags. Shift-share and eligibility-based instruments are common for exogeneity but suffer from weak-IV and influential-component problems. Dynamic panel estimators (system GMM, debiased fixed effects) handle persistence but can be biased with spatial lags and short T. Measurement work compares LP/ACF micro-aggregation, Solow residuals, and Malmquist indices and highlights aggregation and timing misalignment. Gaps: joint treatment of staggered DiD, dynamic spatial dependence, robust spatial-IV inference, rigorous small-sample simulation validation, and power calculations accounting for spatial autocorrelation.</w:t>
      </w:r>
    </w:p>
    <w:p>
      <w:r>
        <w:t xml:space="preserve"> </w:t>
      </w:r>
    </w:p>
    <w:p>
      <w:pPr>
        <w:pStyle w:val="Heading2"/>
      </w:pPr>
      <w:r>
        <w:t>Abstract</w:t>
      </w:r>
    </w:p>
    <w:p>
      <w:r>
        <w:t>We study how European Structural and Investment Funds affected regional total factor productivity (TFP) growth across 262 NUTS2 regions from 2000–2019, allowing impacts to vary over time, space, and fund type. We compute primary TFP via firm-level LP/ACF aggregation where available and use Solow residuals and Malmquist indices for robustness. Identification combines cohort-aware staggered DiD estimators with dynamic spatial econometric models (Spatial Durbin) that allow lagged TFP and spatial spillovers. Endogeneity of spatial lags and fund placement is addressed with external spatial instruments (historical transport exposure and lagged neighbor-eligibility shares), documented first-stage diagnostics, and weak-IV robust inference. We pre-specify spatial weights (inverse travel-time decay plus alternatives), timing lags (0–5 years, default 2-year), fund bundles, and Shapley decompositions to apportion joint effects. Expected outputs are causal ATT estimates by cohort and fund type, quantified direct and spillover channels, small-sample simulation evidence for inference, and policy metrics translating elasticities into euros-per-TFP gains to inform spatially differentiated funding.</w:t>
      </w:r>
    </w:p>
    <w:p>
      <w:r>
        <w:t xml:space="preserve"> </w:t>
      </w:r>
    </w:p>
    <w:p>
      <w:pPr>
        <w:pStyle w:val="Heading2"/>
      </w:pPr>
      <w:r>
        <w:t>Experiments</w:t>
      </w:r>
    </w:p>
    <w:p>
      <w:r>
        <w:t>Datasets: project-level EU fund payments/commitments/completions (ERDF, ESF, CF, EAFRD) 2000–2019; Eurostat NUTS2 socioeconomic panels; firm-level data for LP/ACF aggregation (where available, e.g., ORBIS/national datasets); commuting and travel-time matrices; historical transport network data for instruments; nighttime lights as external productivity proxy. Baselines: naive two-way FE DiD; event-study with Sun &amp; Abraham correction; Callaway &amp; Sant'Anna staggered DiD; dynamic FE (LSDV) and debiased LSDV; system GMM; Spatial Durbin Model (SDM) estimated by ML and by spatial 2SLS/Spatial GMM with spatial IVs; shift-share IV specifications. Metrics: cohort-specific ATT (annual %TFP), standard errors and p-values, pre-trend test p-values, first-stage F and Kleibergen–Paap statistics, Anderson–Rubin/CLR weak-IV p-values, out-of-sample log-likelihood for spatial parameter, RMSE of predicted TFP, bootstrap coverage of CIs, MDES tables. Setup: panel at NUTS2 (N=262, T=2000–2019), exposure = cumulative payments per capita with lags 0–5 (default 2y), primary W = inverse travel-time decay exp(-d/50km) truncated at 300km; alternatives: contiguity, commuting. Procedures: (1) run staggered DiD to obtain cohort ATTs and placebo pre-periods; (2) estimate SDM with lagged dependent variable and spatially lagged treatments, instrument spatial lags using historical transport and lagged neighbor eligibility; (3) run weak-IV robust inference (AR/CLR/LIML) and report leave-one-out shift-share diagnostics; (4) ablations: drop spatial IV, collapse funds into modality bundles, replace LP/ACF TFP with Solow/Malmquist, vary W and truncation; (5) Monte Carlo simulations calibrated to observed spatial decay, cluster sizes, and instrument strength to validate MDES and CI coverage.</w:t>
      </w:r>
    </w:p>
    <w:p>
      <w:r>
        <w:t xml:space="preserve"> </w:t>
      </w:r>
    </w:p>
    <w:p>
      <w:pPr>
        <w:pStyle w:val="Heading2"/>
      </w:pPr>
      <w:r>
        <w:t>Risk Factors And Limitations</w:t>
      </w:r>
    </w:p>
    <w:p>
      <w:r>
        <w:t>Dynamic panel bias: including lagged TFP with fixed effects creates finite-T bias (Nickell bias), and standard corrections may not extend cleanly to spatial lags. Spatial-IV failure: instruments (historical transport, neighbor eligibility) may violate exclusion if they directly affect local TFP, producing biased IV estimates (LATE applies to compliers only). Weak instruments: shift-share components or historical instruments can be weak, inflating variance and misleading inference. Measurement and timing misalignment: payments vs commitments vs completions produce measurement error that attenuates estimates. Aggregation limits: NUTS2 averages can mask within-region heterogeneity; NUTS3 has higher noise. Spatial weight misspecification: incorrect W reduces validity of spillover estimates and effective sample size. Collinearity/overlap: concurrent funds correlate strongly, complicating separate identification and inflating variance. Power limits: spatial autocorrelation reduces effective sample size; MDES ignoring spatial dependence will be optimistic. Data gaps and confidentiality: limited firm-level coverage reduces LP/ACF aggregation and may bias comparisons. Computational cost: spatial IV and simulation studies are computationally heavy for many W choices and bootstrap procedures. External validity: IV-identified effects reflect local compliers and may not generalize across regions, NUTS levels, or later programming periods.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