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true_pricing_marginal_lca_labels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Randomized survey experiment with a hierarchical Bayesian marginal-LCA pipeline to evaluate how true-price presentation formats affect consumer choice and category-level externalities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Presenting per-SKU monetaryized marginal externalities in an absolute dollar format at point of sale causes a larger reduction in purchases of high-footprint SKUs than presenting relative percentages or no externality information.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research on eco-labels and carbon/footprint labels compares formats such as simple eco-scores, multi-attribute breakdowns, relative percent comparisons, and no-label controls and uses field or lab choice experiments and observational scanner data. Lifecycle assessment (LCA) practice splits into process-based LCA (detailed steps for one product) and multi-region input-output (MRIO) models (economy-wide upstream effects). Prior work limitations: (1) many labeling studies use average rather than marginal footprints, which misstates the impact of one additional unit; (2) LCA uncertainty and provenance are often unreported, reducing trust and reproducibility; (3) few studies integrate LCA monetization into labels with quantified uncertainty or evaluate how uncertainty affects behavior; (4) incentive and audit models to deter misreporting are usually informal and not tied to label uncertainty; (5) prior causal designs often omit spillovers, ICC/cluster structure, or rigorous power rules for stepped/staggered rollouts. These gaps leave open which presentation format and monetization rules produce robust consumer shifts and net externality reductions.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how to convert lifecycle-impact inputs into per-SKU monetary 'true prices' with quantified uncertainty and test how different presentation formats affect consumer choice and net externalities. We combine a hierarchical Bayesian marginal-LCA pipeline that fuses supplier process data, environmental product declarations, and MRIO priors to produce posterior draws for per-SKU monetary externalities ($Z) with provenance metadata, and a randomized survey experiment that compares absolute-dollar, relative-percentage, and no-information formats at point of sale. Main contributions are: (1) a reproducible pipeline that specifies when to use process-LCA versus MRIO, priors across supplier/process tiers, and rules mapping posterior draws into label $Z; (2) pre-registered causal estimands and analysis code that propagate LCA uncertainty into treatment effects; and (3) empirical estimates of format effects on choice, comprehension, and category-level marginal externality. Expected outcome: operational labeling rules (mapping, uncertainty display, and budget algebra) that balance transparency, behavioral efficacy, and fiscal consistency for pilot deployment.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(A) Primary: randomized online survey of 1,400 consumers sampled from Dutch and Danish panels with stated-choice tasks over a balanced set of SKUs (milk, eggs, coffee) including market price and product attributes; (B) LCA inputs: supplier process sheets (per-SKU process flows), third-party EPDs (Environmental Product Declarations), and national MRIO tables for upstream multipliers; (C) Synthetic transaction-level datasets for replication. Baselines: (i) control (no externality info), (ii) relative-percent label (e.g., "20% lower footprint"), (iii) absolute $Z label (mean posterior), (iv) absolute $Z label with uncertainty band (display median ± credible interval), (v) conservative label (90th-percentile $Z). Evaluation metrics: primary — change in share of high-footprint SKU choices; secondary — change in category-weighted marginal externality per purchased unit (in $ and kgCO2e), comprehension score (binary correct items), trust scale (5-item), cognitive load (3-item). Estimators: mixed logit models (captures random taste heterogeneity; mixed logit = a choice model allowing preference randomness), cluster-robust SEs by respondent, and hierarchical Bayesian propagation: feed posterior draws of per-SKU $Z into choice models to quantify treatment-effect uncertainty. Statistical tests: pre-registered ATE contrasts with clustered t-tests, Bonferroni-adjusted multiple comparisons, and permutation inference for small-sample robustness. Ablation studies: (A) compare $Z mapping rules: mean vs median vs 90th-percentile vs risk-weighted expected utility (downweight upside uncertainty); (B) vary SCC monetization path (SCC=25, 50, 125 $/tCO2) to test sensitivity; (C) remove MRIO inputs to test effect of upstream multipliers. Audit simulation: Monte Carlo simulation of audits where misreport gain G is drawn from empirical label-margin distributions; vary audit probability p and fine F; report probability that deterrence condition p·F ≥ G holds and resultant expected net budget. Power and sample design: pre-compute detectable ATEs under ICC range 0.01–0.10 using clustered sample-size formula and report minimal detectable share-change at 80% power. Reproducibility: publish code, synthetic data, posterior draws, and pre-registered analysis plan.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hierarchical Bayesian marginal-LCA may not converge with sparse supplier data; MRIO multipliers can dominate process-LCA and produce counter-intuitive marginal estimates. Data biases: supplier self-reports and EPDs may be incomplete or inconsistent; measurement error in $Z will bias estimated treatment effects and IC calculations. Behavioral risks: consumers may misunderstand dollarized externalities or react negatively to uncertainty bands, lowering label efficacy. Scalability limits: per-SKU marginal-LCA for long SKU lists is computationally heavy and requires supplier onboarding; permissioned ledger attestations add latency and cost. Generalization limits: survey-stated choice may not match real purchase behavior in stores; pilot populations (Netherlands/Denmark) may not represent other markets. Legal and operational constraints: fines F may be legally capped, limiting deterrence effectiveness; privacy rules may restrict sharing of linkage data needed for per-household analysis. Evaluation biases: clustering, spillovers, and interference may violate no-interference assumptions and complicate identification of pure treatment effects.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