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markup_product_diff_airlines_us</w:t>
      </w:r>
    </w:p>
    <w:p>
      <w:r>
        <w:t xml:space="preserve"> </w:t>
      </w:r>
    </w:p>
    <w:p>
      <w:pPr>
        <w:pStyle w:val="Heading2"/>
      </w:pPr>
      <w:r>
        <w:t>Title</w:t>
      </w:r>
    </w:p>
    <w:p>
      <w:r>
        <w:t>Markup decomposition integrating product differentiation to identify drivers of firm-level profitability in the U.S. airline industry</w:t>
      </w:r>
    </w:p>
    <w:p>
      <w:r>
        <w:t xml:space="preserve"> </w:t>
      </w:r>
    </w:p>
    <w:p>
      <w:pPr>
        <w:pStyle w:val="Heading2"/>
      </w:pPr>
      <w:r>
        <w:t>Short Hypothesis</w:t>
      </w:r>
    </w:p>
    <w:p>
      <w:r>
        <w:t>Greater product differentiation offered by an airline causes higher firm-level markups and producer surplus, conditional on costs and capacity constraints.</w:t>
      </w:r>
    </w:p>
    <w:p>
      <w:r>
        <w:t xml:space="preserve"> </w:t>
      </w:r>
    </w:p>
    <w:p>
      <w:pPr>
        <w:pStyle w:val="Heading2"/>
      </w:pPr>
      <w:r>
        <w:t>Related Work</w:t>
      </w:r>
    </w:p>
    <w:p>
      <w:r>
        <w:t>Existing approaches split into two bodies: (1) random-coefficients demand estimation and markup recovery (BLP-style), which recover markups using structural demand but often treat product attributes coarsely and rely on instrument sets that can be weak or misspecified; and (2) markup-decomposition methods (building on Lovell-style decompositions) that separate price-cost gaps into components but typically ignore multi-attribute product differentiation, ancillary take-up, and network position. Airline-specific studies model network effects and some dynamic pricing, but they often omit explicit shadow-price recovery for capacity constraints or do not integrate ancillaries as product attributes. Common weaknesses are: dependence on ad hoc instrument construction, limited treatment of non-classical measurement error in scraped fares and ancillaries, unclear handling of ownership matrix uncertainty, and insufficient treatment of network endogeneity (hubs and transfers). These gaps limit causal attribution of how product design drives markup changes across carriers and markets.</w:t>
      </w:r>
    </w:p>
    <w:p>
      <w:r>
        <w:t xml:space="preserve"> </w:t>
      </w:r>
    </w:p>
    <w:p>
      <w:pPr>
        <w:pStyle w:val="Heading2"/>
      </w:pPr>
      <w:r>
        <w:t>Abstract</w:t>
      </w:r>
    </w:p>
    <w:p>
      <w:r>
        <w:t>We introduce a markup-decomposition framework that explicitly incorporates product differentiation to identify the drivers of firm-level profitability in the U.S. airline industry. The method extends classic markup and Lovell-style decompositions by treating offered product attributes (fare bundles, ancillaries, cabin classes) as endogenous inputs to demand, then recovering price markups and capacity shadow prices from a multi-product Bertrand supply system. Identification uses exogenous cost shifters (aggregated fuel shocks, weather, slot/gate reallocations) and rival-characteristic instruments, combined with instrument-validation, measurement-error tests, and bounded corrections for non-classical scraping bias. We apply the method to 20 major U.S. carriers over two decades and produce route-by-route markup decompositions, ownership-matrix bounding, and welfare counterfactuals under short/medium/long-run timing. The main contribution is a reproducible pipeline that links product-level differentiation to markup dynamics, quantifies uncertainty via bootstrap confidence intervals, and provides policy-relevant counterfactuals on mergers, slot reallocations, and ancillary unbundling.</w:t>
      </w:r>
    </w:p>
    <w:p>
      <w:r>
        <w:t xml:space="preserve"> </w:t>
      </w:r>
    </w:p>
    <w:p>
      <w:pPr>
        <w:pStyle w:val="Heading2"/>
      </w:pPr>
      <w:r>
        <w:t>Experiments</w:t>
      </w:r>
    </w:p>
    <w:p>
      <w:r>
        <w:t>Datasets: DB1B (ticket sample) and DB1A where available, T-100 (carrier revenues and capacity), OTA fare scrapes (fare components and ancillaries), Official airline schedules (OAG/Innovata) for capacity and aircraft swaps, FAA slot/gate transaction logs, monthly jet fuel price series, weather event logs, and frequent-flyer program summary statistics. Sample: origin-destination (O-D) monthly markets, 2000–2020, 20 major U.S. airlines. Baselines: (A) standard BLP demand with multi-product Bertrand markup recovery that treats ancillaries as exogenous; (B) Lovell-style annual markup decomposition without product attributes; (C) multi-product Bertrand with capacity but without ancillaries. Proposed method: random-coefficients BLP with ancillaries as product attributes, SIMEX and bounded-identification variants for measurement error, capacity shadow prices recovered from constrained FOCs (Lagrange multipliers), and ownership-matrix envelope reporting. Estimation details: GMM demand estimation (GMM = generalized method of moments, a way to fit structural models), contraction mapping for mean utilities, bootstrap inference with 500 draws baseline and 1,000 draws robustness, clustering at market×time, solver tolerances (contraction tol 1e-11, Newton tol 1e-8), fixed RNG seeds. Instruments and first-stage checks: fuel IV aggregated to market-month by stage-length weighted average (example: market fuel_iv_m = sum_over_flights(stage_length_k * jet_fuel_price_month) / sum_stage_lengths), slot/gate disruption IV coded as binary event when observed scheduled seats on route-month fall by &gt;10% relative to prior month or when slot reassignment occurs in an airport (provide synthetic example rows in template); report F-statistics, Kleibergen-Paap, Hansen J, and Anderson-Rubin tests. Evaluation metrics: first-stage F, partial R2, Hansen J p-values, root-mean-square error (RMSE) of predicted market shares, out-of-sample fare prediction RMSE, distribution of recovered markups, decomposition shares (contribution of product differentiation vs other drivers), welfare CIs (consumer and producer surplus) and coverage rates from bootstrap. Ablations and comparisons: (1) remove ancillaries as attributes to measure change in recovered markup and welfare (ancillary ablation); (2) replace SIMEX correction with bounded-identification calibration using a small validation subsample (measurement-error ablation); (3) vary ownership matrices (carrier-level, alliance-level, full-consolidation) and report envelope; (4) instrument-subset experiment: full instrument set vs trimmed set (drop instruments with partial F&lt;10) and compare point estimates and CI widths. Placebo tests: distant-route placebos (routes with no hub overlap) and pre-shock lead tests around fuel spikes and slot events. Computational tests: CI reproducibility job re-running full pipeline on a 10% representative subsample to validate runtime and outputs.</w:t>
      </w:r>
    </w:p>
    <w:p>
      <w:r>
        <w:t xml:space="preserve"> </w:t>
      </w:r>
    </w:p>
    <w:p>
      <w:pPr>
        <w:pStyle w:val="Heading2"/>
      </w:pPr>
      <w:r>
        <w:t>Risk Factors And Limitations</w:t>
      </w:r>
    </w:p>
    <w:p>
      <w:r>
        <w:t>Instrument weakness: constructed IVs (fuel aggregation, slot events, rival-characteristics) may have low first-stage strength or violate exclusion due to network spillovers, producing biased estimates. Measurement error: scraped fares and ancillary records can have non-classical biases (systematic by carrier or fare class) that break SIMEX assumptions and produce inconsistent corrections. Network endogeneity: hub centrality and transfer intensity are endogenous to past pricing and entry, so excluded-instrument arguments may fail. Ownership ambiguity: results depend on chosen ownership matrix; envelope reporting may be wide and inconclusive. Capacity modeling limits: treating capacity as a hard constraint ignores intertemporal fleet redeployments and stochastic supply, limiting medium/long-run interpretation. Computational cost: full BLP/GMM with bootstrap is heavy (many-core HPC required); memory and time limits may force smaller bootstrap draws that reduce statistical precision. Data/legal constraints: DB1B/T-100 disclosure rules may restrict public release, limiting external replication; synthetic-data masking may not perfectly preserve all utility-relevant features. Generalizability: findings reflect U.S. regulatory, network, and market structure and may not transfer to other countries or time windows with different industry dynamics.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