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epistemic_virtue_collective_success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Experimental and computational assessment of individual epistemic virtues' causal effects on collective scientific reliability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Enhancing individual epistemic virtues (intellectual humility, epistemic curiosity, epistemic diligence, intellectual courage, honesty, open-mindedness) in scientific teams causes higher collective accuracy, shorter time-to-correction, and greater replication success than in matched teams without such enhancement.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explaining science's success split into structural accounts and individual-virtue accounts. Structural accounts attribute success to incentive systems, division of cognitive labor, market-like aggregation, or institutional reforms; they use organizational analysis, econometric studies, and agent-based models without strong individual-level virtue measures. Individual-virtue research adapts psychological scales (e.g., intellectual humility, open-mindedness, epistemic curiosity) and open-science interventions (pre-registration, data sharing) to study behaviors. Empirical reproducibility work (large-scale replications, registered-report archives, and open-data audits) shows widespread reliability problems and tests structural remedies (transparency mandates, credit rules). Limitations: structural accounts often assume aggregate outcomes follow automatically from incentives and may underplay agents' dispositions; measurement efforts face self-report bias, cross-discipline invariance problems, and few causal field trials; agent models are rarely validated against rich empirical priors about virtue distributions; and prior interventions focus on policy levers with limited direct tests of individual virtue training or behavior change. These gaps leave open whether virtue-level changes produce measurable collective gains beyond structural reforms.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The project tests whether improving individual epistemic virtues in scientists—traits such as intellectual humility, curiosity, diligence, courage, honesty, and open-mindedness—causally improves collective scientific reliability. We combine randomized micro-lab interventions, field cluster trials, and calibrated agent-based models (ABMs). Measurement uses a multi-method battery: adapted validated scales, context vignettes, behavioral coding of meetings and data-sharing events, and automated NLP markers. Lab and field trials will randomize teams to virtue-enhancement treatments, structural-incentive controls, and combined arms; primary endpoints are group accuracy, time-to-correction, and replication success. ABMs will be fit to pilot archival data to explore long-run and network effects and to generate priors for power analyses. Main contributions: (1) pre-registered causal tests of individual virtue effects on collective outcomes, (2) validated measurement instruments with invariance checks across disciplines, and (3) an open ABM calibrated to real-world benchmarks. Expected outcome: clear empirical evidence on whether and how individual epistemic virtues matter for sustaining reliable scientific institutions.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Many Labs and Reproducibility Project replication outcomes; OSF and Registered Report archives (pre-registration and open-data rates); Retraction Watch (corrections/retractions); co-authorship and citation networks from Web of Science or Dimensions; partnered lab-meeting transcripts and coded behavioral logs; synthetic datasets for preregistration. Baselines: (A) control (no intervention), (B) structural-only (credit or transparency policy), (C) measurement-feedback-only, (D) virtue-training-only, (E) combined virtue + structural. Evaluation metrics: Primary endpoints—group accuracy/error rate (fraction of team claims matching ground-truth or high-quality replication), time-to-correction (days from error introduction to public correction), replication success rate (binary success across replications). Secondary metrics—belief-revision frequency (count per meeting), data-sharing events (binary per task), constructive-critique rate (count), reputation shifts (normalized). Statistical setup: randomized micro-lab experiments with teams (cluster RCT), multilevel models (individuals nested in teams nested in institutions), random effects for team and institution. Power and priors: publish seeds [42,2025,1337], ICC priors = {lab:0.05, field:0.10}, effect-size priors d_lab in [0.3,0.5], beta_field in [0.2,0.4]; report sensitivity table showing sample requirements for ICC ∈ {0.05,0.10,0.15} and nonresponse rates ∈ {10%,20%,30%}. Sample example: for team size 4, detect d=0.4 with ICC=0.05 at 80% power requires ~50 teams/arm. Analyses: pre-registered multilevel mediation (virtues → communication mediators → collective outcomes), adjustment covariates (discipline, seniority, gender, baseline productivity), multiple imputation for missing at random, and MNAR sensitivity checks. Measurement validation: multigroup confirmatory factor analysis (configural→metric→scalar), DIF checks, item retention criteria (item-total correlation &lt; 0.30 flagged; removal if Cronbach's alpha increases when removed). NLP &amp; coding: held-out validation set (≈10% of coded data) with metrics precision/recall, confusion matrices; inter-coder Krippendorff's alpha target ≥0.70. Ablation studies: (1) remove virtue-training but keep structural policy to test added value of virtues; (2) remove single virtue components (e.g., no humility training) to isolate contributions; (3) ABM counterfactual sweeps varying credit-dampening γ and reputation weight α to compare structural vs virtue parameter effects.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validity: self-report scales may suffer social desirability and not match observed behavior; vignettes and coding could fail invariance across disciplines. Causal inference limits: field trials may have imperfect compliance, spillovers between teams, or selection bias in recruitment. Statistical risks: higher-than-expected ICCs or nonresponse can reduce power; mediation estimates may be sensitive to unmeasured confounders. ABM risks: model mismatch if empirical calibration targets are noisy or if simplifying assumptions (e.g., utility forms) omit critical mechanisms; large parameter sweeps can be computationally heavy. Ethical and governance constraints: IRB or legal limits may restrict data sharing (especially transcripts) and reduce validation data. Adversarial behaviors: participants may game incentives or change behavior under observation. Generalization limits: results from sampled disciplines, institutions, or national contexts may not transfer to other scientific fields or cultures.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