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women_founders_gps_de</w:t>
      </w:r>
    </w:p>
    <w:p>
      <w:r>
        <w:t xml:space="preserve"> </w:t>
      </w:r>
    </w:p>
    <w:p>
      <w:pPr>
        <w:pStyle w:val="Heading2"/>
      </w:pPr>
      <w:r>
        <w:t>Title</w:t>
      </w:r>
    </w:p>
    <w:p>
      <w:r>
        <w:t>A mixed-methods study combining qualitative interviews, psychometric scale validation, and computational linkage to measure how women tech founders in Germany construct visibility and whether those practices reproduce, restructure, or eliminate gender dualisms</w:t>
      </w:r>
    </w:p>
    <w:p>
      <w:r>
        <w:t xml:space="preserve"> </w:t>
      </w:r>
    </w:p>
    <w:p>
      <w:pPr>
        <w:pStyle w:val="Heading2"/>
      </w:pPr>
      <w:r>
        <w:t>Short Hypothesis</w:t>
      </w:r>
    </w:p>
    <w:p>
      <w:r>
        <w:t>Higher frequency of gender-conforming visibility strategies by women tech founders in Germany causes higher early-stage funding amounts compared with founders who use undoing strategies, controlling for firm age, sector, prior experience, and city funding density.</w:t>
      </w:r>
    </w:p>
    <w:p>
      <w:r>
        <w:t xml:space="preserve"> </w:t>
      </w:r>
    </w:p>
    <w:p>
      <w:pPr>
        <w:pStyle w:val="Heading2"/>
      </w:pPr>
      <w:r>
        <w:t>Related Work</w:t>
      </w:r>
    </w:p>
    <w:p>
      <w:r>
        <w:t>Prior work on gender and entrepreneurship uses three main approaches: in-depth qualitative interviews that document lived practices of gender performance; survey-based scales that quantify behaviors and attitudes but often lack integrated psychometric validation; and computational analyses of digital traces (LinkedIn, media, social platforms) that measure visibility at scale but suffer from platform and coverage bias. Limitations across existing approaches include weak integration (most studies use one method only), small or non-representative samples, insufficient psychometric work on visibility strategies, limited inclusion of non-binary founders, and under-specified linkage/de-duplication protocols. Causal claims are rare because observational datasets lack pre-registered identification strategies and sensitivity analyses. Machine-learning studies frequently omit fairness audits and fail to report subgroup performance, producing risks of biased inference. This project addresses these gaps by combining methods, pre-specifying measurement and linkage, and testing robustness to unmeasured confounding.</w:t>
      </w:r>
    </w:p>
    <w:p>
      <w:r>
        <w:t xml:space="preserve"> </w:t>
      </w:r>
    </w:p>
    <w:p>
      <w:pPr>
        <w:pStyle w:val="Heading2"/>
      </w:pPr>
      <w:r>
        <w:t>Abstract</w:t>
      </w:r>
    </w:p>
    <w:p>
      <w:r>
        <w:t>This study investigates how women tech founders in Germany intentionally create public visibility and whether those practices reproduce, restructure, or eliminate the masculinity–femininity dualism. We use a mixed-methods design: semi-structured interviews to derive behaviorally anchored items; a nationally framed survey to validate a Gender Performance Strategy (GPS) scale using psychometric models (exploratory and confirmatory factor analysis; item response theory); and consented linkage to public registries and digital profiles (LinkedIn, Dealroom/Crunchbase) to measure objective funding and network outcomes. Computational classifiers (topic and gendered-language detection) and network metrics will triangulate self-reports. Main contributions are (1) a validated GPS instrument with documented measurement invariance, (2) reproducible linkage and de-duplication protocols, and (3) causal and sensitivity analyses estimating the effect of visibility strategies on funding and legitimacy outcomes. Expected outcomes include robust, auditable measures of gendered visibility practices and evidence on whether certain strategies advantage or disadvantage women founders, informing research, practice, and policy in startup ecosystems.</w:t>
      </w:r>
    </w:p>
    <w:p>
      <w:r>
        <w:t xml:space="preserve"> </w:t>
      </w:r>
    </w:p>
    <w:p>
      <w:pPr>
        <w:pStyle w:val="Heading2"/>
      </w:pPr>
      <w:r>
        <w:t>Experiments</w:t>
      </w:r>
    </w:p>
    <w:p>
      <w:r>
        <w:t>Datasets: (1) Merged sampling frame from Handelsregister/Unternehmensregister filtered by tech codes, Dealroom/Crunchbase/PitchBook, accelerator cohort lists, and women-founder networks; (2) Survey sample target N=1,050–1,200 completed respondents with oversampling of migrant-background and gender-diverse founders; (3) Qualitative interviews n≈40–60 (for item derivation and context); (4) Consented digital traces (LinkedIn profile text/posts, public funding records, press mentions). Linkage: deterministic match on registration/VAT numbers, emails, or LinkedIn URLs; then Fellegi–Sunter probabilistic linkage (string distance = Levenshtein) with blocking by city and firm name first 6 chars; pre-specify match-score thresholds: accept &gt;=0.95 deterministic, probable 0.85–0.95 flagged for clerical review, reject &lt;0.85; clerical review rules: two adjudicators, conflict → third adjudicator; report inter-adjudicator agreement (Cohen's kappa). Baselines: A) Covariate-only regression predicting funding (controls: firm age, sector, city funding density, founder experience); B) Covariate + GPS latent scores; C) ML prediction using XGBoost with same inputs; compare predictive R2 and RMSE for continuous funding. Measurement models: EFA (to identify factors) followed by CFA (confirmatory factor analysis) comparing correlated multidimensional model vs bifactor model (bifactor = one general GPS factor + domain-specific factors); also fit graded-response IRT (IRT = model for ordered responses) for item parameters. Psychometric thresholds: omega &gt;= .75, alpha &gt;= .70, RMSEA &lt; .06, CFI/TLI &gt;= .95, SRMR &lt; .08. Invariance tests: sequential configural → metric → scalar across region, parental status, migration background, gender identity; if Ns small use alignment optimization. ML tasks and evaluation: visibility/theme classifiers (BERTopic or transformer-based) and gendered-language detectors; training: nested 5×5 cross-validation + held-out test; metrics: precision/recall/F1, ROC-AUC, calibration plots. Ablations: 1) remove digital linkage (survey-only) and compare effect estimates; 2) compare correlated-factor vs bifactor psychometric models for mediation analysis; 3) drop non-binary and small-N groups to test sensitivity. Causal estimation: doubly robust AIPW/TMLE to estimate average treatment effects of GPS score on funding; report 95% CIs. Sensitivity analyses: report E-values, Rosenbaum bounds, and Oster-style bounding. Reproducibility: publish linkage code, probabilistic parameters, and simulated example data; include seed and container specifications. All experiments report subgroup performance and fairness metrics (demographic parity gap, equalized odds gap) for classifiers.</w:t>
      </w:r>
    </w:p>
    <w:p>
      <w:r>
        <w:t xml:space="preserve"> </w:t>
      </w:r>
    </w:p>
    <w:p>
      <w:pPr>
        <w:pStyle w:val="Heading2"/>
      </w:pPr>
      <w:r>
        <w:t>Risk Factors And Limitations</w:t>
      </w:r>
    </w:p>
    <w:p>
      <w:r>
        <w:t>Misclassification: commercial databases may mislabel founder gender or founder status (role vs owner), causing measurement error. Coverage bias: Dealroom/Crunchbase under-represents bootstrapped, non-English, and informal co-founders. Linkage errors: probabilistic matching can create false positives/negatives; clerical review is resource-intensive. Small-N subgroups: non-binary and migrant-background founders may have low counts, limiting statistical power and invariance testing. Social desirability and recall bias: self-reported GPS behaviors may be biased. Platform bias: LinkedIn and GitHub users differ systematically from non-users, limiting generalization. Legal/ethical constraints: GDPR and platform terms may restrict data fields and sample sizes for digital traces. Causal limits: observational design cannot fully eliminate unmeasured confounding; sensitivity analyses may be inconclusive. Computational costs: large-scale linkage and nested CV training are compute-intensive. Generalizability: results apply to Germany's tech ecosystem and may not generalize to other countries or sectors.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