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w:t>
      </w:r>
    </w:p>
    <w:p>
      <w:r>
        <w:t xml:space="preserve"> </w:t>
      </w:r>
    </w:p>
    <w:p>
      <w:pPr>
        <w:pStyle w:val="Heading2"/>
      </w:pPr>
      <w:r>
        <w:t>Title</w:t>
      </w:r>
    </w:p>
    <w:p>
      <w:r>
        <w:t>Instrumental-variable panel regression analysis of firm-level determinants of export growth in Santander, Colombia, 2010–2020</w:t>
      </w:r>
    </w:p>
    <w:p>
      <w:r>
        <w:t xml:space="preserve"> </w:t>
      </w:r>
    </w:p>
    <w:p>
      <w:pPr>
        <w:pStyle w:val="Heading2"/>
      </w:pPr>
      <w:r>
        <w:t>Short Hypothesis</w:t>
      </w:r>
    </w:p>
    <w:p>
      <w:r>
        <w:t>A one-standard-deviation increase in a firm's Export Readiness Index (ERI) causes at least a 10% increase in that firm's monthly export value, holding firm size, sector, and destination fixed.</w:t>
      </w:r>
    </w:p>
    <w:p>
      <w:r>
        <w:t xml:space="preserve"> </w:t>
      </w:r>
    </w:p>
    <w:p>
      <w:pPr>
        <w:pStyle w:val="Heading2"/>
      </w:pPr>
      <w:r>
        <w:t>Related Work</w:t>
      </w:r>
    </w:p>
    <w:p>
      <w:r>
        <w:t>Prior approaches fall into three groups: (1) gravity-style aggregated trade regressions that use Poisson pseudo-maximum-likelihood (PPML) to estimate bilateral flows and include multilateral-resistance fixed effects; (2) firm-level panel regressions (fixed effects, difference-in-differences) that document micro heterogeneity in export entry and intensity but often suffer from endogeneity and small sample limits; and (3) program-evaluation and IV studies that instrument policy or logistics shocks (port strikes, tariff changes) to recover local average treatment effects. Limitations across these streams include: weak causal identification when instruments or natural experiments are not pre-tested for anticipatory behavior; limited handling of spatial spillovers and network exposure; ad-hoc construction and poor out-of-sample validation of export-readiness indices; lack of reproducible power calculations tied to realistic sample frames; and scarce integrated analyses that link customs microdata, firm financials, and logistics telemetry under secure governance. These gaps motivate a combined panel+IV+ERI approach with pre-registered tests for timing manipulation, spillovers, and heterogeneity.</w:t>
      </w:r>
    </w:p>
    <w:p>
      <w:r>
        <w:t xml:space="preserve"> </w:t>
      </w:r>
    </w:p>
    <w:p>
      <w:pPr>
        <w:pStyle w:val="Heading2"/>
      </w:pPr>
      <w:r>
        <w:t>Abstract</w:t>
      </w:r>
    </w:p>
    <w:p>
      <w:r>
        <w:t>This study analyzes drivers of firm export growth in Santander, Colombia from 2010 to 2020 using linked customs records, firm financials, regional opportunity maps, and logistics indicators. We combine panel regressions with instrumental-variable (IV) strategies that exploit exogenous logistics and policy shocks (port events, phased customs rollouts) to identify causal effects. We operationalize an Export Readiness Index (ERI) composed of digital adoption, production flexibility, compliance capacity, and financial resilience, and validate it with out-of-sample prediction of export entry. Main contributions are: (1) pre-registered exclusion-restriction and event-timing tests to detect anticipatory behavior; (2) a fully specified power table using realistic cluster moments; (3) an explicit spillover estimation plan using buffer-zone exposure and spatial lags; and (4) heterogeneity estimation with causal forests and pre-specified estimands (CACE/LATE). Expected outcomes are causal estimates of how ERI and logistics affect export value and entry, validated ERI weights, and reproducible artifacts for policy use.</w:t>
      </w:r>
    </w:p>
    <w:p>
      <w:r>
        <w:t xml:space="preserve"> </w:t>
      </w:r>
    </w:p>
    <w:p>
      <w:pPr>
        <w:pStyle w:val="Heading2"/>
      </w:pPr>
      <w:r>
        <w:t>Experiments</w:t>
      </w:r>
    </w:p>
    <w:p>
      <w:r>
        <w:t>Datasets: (A) customs microdata 2010–2020 with shipment-level value, HS product, origin city and port, and timestamps; (B) firm registry and annual financial statements for N=128 exporting firms (balance sheets, sales, employment); (C) credit-bureau score time-series; (D) regional opportunity map indicators; (E) logistics telemetry (dwell time, transit time) and event logs (port strikes, terminal openings); fallback: BACI/UN Comtrade aggregates. Baselines: (1) pooled OLS panel (firm and year FE), (2) fixed-effects panel with lagged covariates, (3) PPML gravity for exporter-product-destination flows (explained below), (4) IV two-stage least squares (2SLS) and IV-PPML using exogenous port/rollout events, (5) staggered-adoption DID with leads and synthetic-control for major single events, (6) causal forest and R-learner for heterogeneity. Technical notes: PPML = estimator that fits count/flow data allowing zeros and heteroskedasticity; IV-PPML uses first-stage instrumented logistics covariates. Outcomes: primary—export entry (binary), monthly export value (log); secondary—export shipments count, mean lead time, spoilage rate, unit landed cost. Evaluation metrics: coefficient estimates and heteroskedasticity-robust clustered SEs, first-stage F-statistics (&gt;10), LIML/Fuller if weak IVs, p-values with Romano-Wolf family correction, PPML pseudo-R2, RMSE for predictive models, out-of-sample AUC and Brier score for ERI predicting export entry, calibration plots by subgroup, MDE (minimum detectable effect) table in $ monthly export value. Experimental setup: 1) Link datasets via hashed IDs in secure enclave; 2) Construct ERI modules (normalize 0–100); 3) Compare ERI weighting ablation: equal weights vs PCA vs confirmatory factor analysis (CFA) vs predictive regularized weights (elastic-net) and report out-of-sample AUC differences; 4) Estimate baseline FE regressions; 5) Pre-registered IVs: port strikes, new terminal openings, phased single-window rollouts; run first-stage, Hansen J (overid) and Conley bounds for spatial correlation; 6) Run event-study graphs with ±24 month leads/lags and event-timing manipulation tests (placebo dates and McCrary-type density tests on treatment timing); 7) Staggered DID with Goodman-Bacon decomposition and synthetic controls for the largest events; 8) Heterogeneity: fit causal forest and R-learner with cross-validation; report CATE distributions and CACE/LATE by ERI quartile; 9) Spillover analysis: define buffer radii (10km, 50km, 100km), compute exposure maps (share of shipments routed via affected hub), estimate spatial-lag models and exposure-weighted treatment effects and report inference with spatially clustered SEs; 10) Publish reproducible artifacts: data dictionary (schema only), parameterized simulation notebooks for power table, and CI-tested code repository. Ablation: remove logistics covariates, replace ERI weighting method, and re-run IV and heterogeneity pipelines to quantify sensitivity.</w:t>
      </w:r>
    </w:p>
    <w:p>
      <w:r>
        <w:t xml:space="preserve"> </w:t>
      </w:r>
    </w:p>
    <w:p>
      <w:pPr>
        <w:pStyle w:val="Heading2"/>
      </w:pPr>
      <w:r>
        <w:t>Risk Factors And Limitations</w:t>
      </w:r>
    </w:p>
    <w:p>
      <w:r>
        <w:t>Technical failure modes: weak instruments (first-stage F&lt;10) or anticipatory timing by firms that invalidate exclusion restrictions; measurement error in ERI modules from missing or misreported survey/registry data. Data and legal risks: customs-level linkages may be denied or delayed by providers, leading to reliance on lower-resolution public data; MoU timelines can exceed six weeks. Sample-size limits: N=128 firms restricts precision for subgroup and cluster-RCT-style inference; intra-cluster correlation (ICC) uncertainty may make MDEs large. Spillovers and SUTVA violations: treatment can affect nearby untreated firms via shared ports/routes, complicating LATE interpretation and requiring spatial models. Calibration limits: CGE/PE results depend on chosen shock magnitudes and SAM data quality, producing model-dependent counterfactuals. Generalization limits: results for Santander (2010–2020) may not transfer to other regions, time periods, or post-pandemic dynamics. Compute and reproducibility: secure-enclave workflows and legal restrictions may limit open-data release; published artifacts will exclude raw sensitive microdata.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