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precommitment_international_performance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longitudinal causal analysis of how SME pre-commitments drive foreign market entry opportunities and international performance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levels of SME pre-commitment causally increase international performance by creating more foreign market entry opportunities.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research contrasts effectuation (decision rules entrepreneurs use under uncertainty) with causation (prediction-driven planning) and has separately applied real options reasoning to entry timing. Studies show that pre-commitments (e.g., exclusive contracts, asset dedication) and staging logic can influence internationalization, and that affordable loss frames affect risk-taking. Existing empirical approaches include cross-sectional surveys, partial least squares structural equation modeling (PLS-SEM), and case studies. Limitations in current work are: heavy reliance on cross-sectional or single-country samples, weak causal identification (few natural experiments or IVs), limited longitudinal mediation tests, inconsistent measurement of pre-commitment types, poor handling of network spillovers (ties between firms), and inadequate measurement invariance testing across languages and countries. Many studies do not pre-specify power for mediation, do not test IV strength, and do not model interference (when one firm’s actions affect others).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SMEs use pre-commitments (contracts, asset dedication, reputational promises) but it is unclear whether these choices causally improve international performance and through which mechanisms. Approach: Conduct a longitudinal panel study of SMEs (multi-country, target n=400–600) with three waves spaced ~9–12 months; measure pre-commitment types, staging and affordable-loss behaviors, creation of foreign market entry opportunities, experiential learning, network ties, and international outcomes. Use causal estimators (staggered event-study DID, IVs, firm fixed effects, and longitudinal mediation with lagged mediators) plus network dynamics models to account for spillovers. Contribution: Provide stronger causal evidence on whether and how pre-commitments drive SME international performance, quantify direct and indirect (mediated) effects, test moderation by experiential learning, and supply reproducible power tables and measurement packages. Expected outcome: Clear, testable estimates of effect sizes and mediation pathways that inform theory (effectuation vs real-options links) and practical guidance for SME international strategy.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new panel of SMEs across 3–6 countries, target N=400 and N=600 scenarios; three waves (Wave1 baseline, Wave2 mediator, Wave3 outcome) spaced 9–12 months; use prior NZ dataset (N=332) for replication. Measurement: pre-commitment types (contractual, asset, reputational), staging logic scale, affordable-loss scale, experiential-learning index, network tie list (partners with attributes), outcomes: export intensity (% revenue), foreign revenue growth (absolute and %), binary early foreign market entry within window. Baselines: (A) causation-oriented decision-making score, (B) real-options reasoning score, (C) founder-only reports without partner confirmation. Estimators and models: (1) PLS-SEM for latent constructs and initial replication; report model-fit (SRMR, but also report SEM fit indices: CFI, RMSEA) and reliability (alpha, omega). (2) Panel fixed-effects regressions with clustered SEs by country and firm, outcomeit = beta1*precommitmentit-1 + controls + firmFE + timeFE; (3) Staggered-adoption DID / event-study using Sun &amp; Abraham or Callaway &amp; Sant’Anna; event window primary -6 to +6 quarters; (4) IV 2SLS when instrument available; first-stage diagnostics: F-statistic&gt;10, Cragg-Donald, report Anderson-Rubin CI; specify first-stage model: precommitment_it = gamma*instrument_jt + X_it + firmFE + timeFE, cluster SEs at country-industry. (5) Longitudinal mediation: lagged mediator approach (Wave1 precommitment, Wave2 mediator, Wave3 outcome) estimating natural indirect effect via longitudinal SEM and bootstrapped 95% CIs (5,000 draws). (6) Network dynamics: TERGM/RSiena to model tie formation and test network mediation (change in brokerage, cross-border tie share). Evaluation metrics: primary effect size (standardized beta), absolute change in export intensity and foreign revenue growth, mediation proportion mediated, SEM fit indices (CFI&gt;0.90, RMSEA&lt;0.08 target), IV first-stage F, power/MDE tables for N=400/600 under attrition scenarios (retain rates 70%, 80%, 90%) and ICCs {0.01,0.05,0.1}. Experimental setup specifics: preregistered analysis plan (seed for MC sims set.seed(20260117)); translation and cognitive testing for instruments across languages; pairwise ablation studies: A1 remove pre-commitment construct, A2 replace pre-commitment with causation score, A3 drop network mediators. Comparisons: report effects from PLS-SEM vs panel FE vs IV vs event-study; report robustness to clustering, wild bootstrap p-values, and sensitivity to missing ties (MNAR simulations).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Weak or invalid instruments (first-stage F&lt;10) causing unreliable IV estimates. Attrition across waves reducing power or inducing bias (lower retention than 70% harms mediation tests). Measurement non-equivalence across languages/countries (scalar invariance may fail), limiting cross-country comparisons. Network nonresponse or partner refusal reduces network mediator validity and may bias estimates; missing ties can create MNAR problems. Spillovers and interference (one firm’s pre-commitment affecting others) can violate SUTVA and complicate causal inference; partial-interference models may be insufficient. Small true effect sizes near detection limits require large samples; resource limits may prevent reaching N=600. Generalization limited to SMEs in selected countries and industries; results may not hold for large firms or very different institutional contexts. Computational complexity for TERGM/RSiena and bootstrapped mediation (many resamples) may require substantial compute time.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