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configurable_systems_expertise</w:t>
      </w:r>
    </w:p>
    <w:p>
      <w:r>
        <w:t xml:space="preserve"> </w:t>
      </w:r>
    </w:p>
    <w:p>
      <w:pPr>
        <w:pStyle w:val="Heading2"/>
      </w:pPr>
      <w:r>
        <w:t>Title</w:t>
      </w:r>
    </w:p>
    <w:p>
      <w:r>
        <w:t>A large-scale repository-mining study of developer engagement and expertise in preprocessor-based configurable software systems</w:t>
      </w:r>
    </w:p>
    <w:p>
      <w:r>
        <w:t xml:space="preserve"> </w:t>
      </w:r>
    </w:p>
    <w:p>
      <w:pPr>
        <w:pStyle w:val="Heading2"/>
      </w:pPr>
      <w:r>
        <w:t>Short Hypothesis</w:t>
      </w:r>
    </w:p>
    <w:p>
      <w:r>
        <w:t>Concentration of variable-code edits (code guarded by preprocessor directives) causes conventional expertise metrics (e.g., total commits, file-ownership, review counts) to systematically under-identify developers who are proficient with variable code.</w:t>
      </w:r>
    </w:p>
    <w:p>
      <w:r>
        <w:t xml:space="preserve"> </w:t>
      </w:r>
    </w:p>
    <w:p>
      <w:pPr>
        <w:pStyle w:val="Heading2"/>
      </w:pPr>
      <w:r>
        <w:t>Related Work</w:t>
      </w:r>
    </w:p>
    <w:p>
      <w:r>
        <w:t>Prior work uses mining software repositories to measure developer expertise with simple metrics like commit counts, last-touch, or file ownership, and separate literature studies variability in software product lines or preprocessor-based systems. Existing approaches are limited by small or single-project samples, lack of focus on preprocessor-guarded variable code, weak or absent ground-truth linking between incidents and config changes, and minimal treatment of linkage uncertainty (i.e., how confidently a change is tied to a config incident). Many studies evaluate expertise on whole-file or module edits and do not disaggregate variable versus mandatory code. Prior methods also rarely report calibration, cross-project generalizability, or privacy-preserving release strategies. These gaps leave unresolved whether common expertise metrics track work on variable code and how concentrated variable-code workload is across developers.</w:t>
      </w:r>
    </w:p>
    <w:p>
      <w:r>
        <w:t xml:space="preserve"> </w:t>
      </w:r>
    </w:p>
    <w:p>
      <w:pPr>
        <w:pStyle w:val="Heading2"/>
      </w:pPr>
      <w:r>
        <w:t>Abstract</w:t>
      </w:r>
    </w:p>
    <w:p>
      <w:r>
        <w:t>We study whether standard developer-expertise metrics capture who actually works on variable code in configurable software systems where variability is implemented with preprocessor directives. We mine 25 preprocessor-based projects and tens of thousands of commits to (1) identify edits touching variable (preprocessor-guarded) versus mandatory code, (2) measure concentration of variable-code workload across developers, and (3) evaluate whether common expertise metrics identify those who edit variable code. Our approach combines file- and metadata-based linking heuristics, a manually labeled pilot for ground truth, probabilistic linkage scores, and multilevel statistical models that account for project and developer clustering. The main contribution is an empirical quantification of mismatch between conventional expertise metrics and variable-code authorship, plus reproducible linking and evaluation artifacts. Expected outcomes are concrete evidence on whether expertise measures need adaptation for configurable systems, public synthetic datasets and evaluation code, and guidance for tooling or training that targets variable-code competence.</w:t>
      </w:r>
    </w:p>
    <w:p>
      <w:r>
        <w:t xml:space="preserve"> </w:t>
      </w:r>
    </w:p>
    <w:p>
      <w:pPr>
        <w:pStyle w:val="Heading2"/>
      </w:pPr>
      <w:r>
        <w:t>Experiments</w:t>
      </w:r>
    </w:p>
    <w:p>
      <w:r>
        <w:t>Datasets: 25 open-source preprocessor-based configurable software system projects (languages: C/C++/other with preprocessors), all commits, PRs, issues, CI/test runs; pilot labeled sample of ~400 candidate links across 10 representative repos for ground truth. Preprocessing: parse files to mark preprocessor-guarded code (variable code) and mandatory code; produce ChangeEvent records with probabilistic link_confidence. Baselines: (B1) total commit count per developer, (B2) file-ownership (proportion of edits in a file), (B3) last-touch recency, (B4) review participation count. Variable-code baseline: frequency of edits touching preprocessor-guarded regions. Models and metrics: 1) Classification: predict whether a developer is a variable-code expert (binary) using logistic mixed-effects models (fixed effects: tenure, language, project size, CI usage; random intercepts: project and developer); report ROC-AUC, PR-AUC, Brier score, calibration slope. Note: mixed-effects model = model with both fixed effects (shared coefficients) and random effects (per-group offsets). 2) Count outcomes: model number of variable-code edits using negative-binomial mixed-effects regression (log link). 3) Concentration: compute Gini coefficient and share of top-1/5/10% contributors for variable-code edits. 4) Fairness and generalizability: evaluate equalized-odds differences across key strata (project size, governance) and cross-project AUC drop (train on 80% projects, test holdout 20%). Experiments: (E1) Baseline comparison: compare predictive performance of B1-B4 vs variable-code features using classification and count models. (E2) Ablation on linkage: rerun models with (a) only high-confidence links (link_confidence &gt;= threshold), (b) probabilistic multiple imputation of links (propagate link_confidence), (c) naive deterministic linking; report performance and calibration per variant. (E3) Ground-truth validation: measure pilot labeling inter-rater agreement (Cohen's kappa) and compute precision/recall of linking heuristics; use holdout repos for external validation. (E4) Sensitivity: Monte Carlo runs with fixed RNG seed and parameter grid over missingness rates (0%,10%,20%), ICCs (0.01,0.05,0.10), and sample strata sizes; output conditional minimum detectable effects (MDE) tables. Evaluation thresholds: target ROC-AUC &gt;= 0.80 for practical discriminative models and report trade-offs when thresholds unmet. Reproducibility: record all RNG seeds, container images, and software versions; provide synthetic dataset and notebook that replicate analyses without raw data.</w:t>
      </w:r>
    </w:p>
    <w:p>
      <w:r>
        <w:t xml:space="preserve"> </w:t>
      </w:r>
    </w:p>
    <w:p>
      <w:pPr>
        <w:pStyle w:val="Heading2"/>
      </w:pPr>
      <w:r>
        <w:t>Risk Factors And Limitations</w:t>
      </w:r>
    </w:p>
    <w:p>
      <w:r>
        <w:t>Linking errors and ambiguous labels: heuristics may yield false positives/negatives when config-related text or file patterns are noisy. Labeling ambiguity: adjudicators may disagree on whether a change is a configuration incident, limiting ground-truth quality. Measurement error: probabilistic links must be propagated; failure to do so will bias estimates. Sampling bias: mined contributors skew toward active developers, under-representing less active but expert contributors. Privacy and legal limits: repository licensing and privacy constraints may restrict data release and use of differential privacy may be infeasible for some queries. Scalability and compute: parsing large codebases and CI logs requires substantial compute and storage. Generalization: results may not transfer to systems that use non-preprocessor variability mechanisms or different languages. Causal inference limits: observational design prevents strong causal claims about causes of expertise concentration. Multiple comparisons: many models and strata increase false-positive risk if not corrected.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