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cgo_usage_empirical_study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Automated static and build-validated analysis of cgo usage patterns and risks in Go projects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Packages that contain an AST-level import "C" without any C.&lt;identifier&gt; references (declaration-only) exhibit a higher rate of build and linker failures under CGO_ENABLED=1 than packages where import "C" co-occurs with visible C.&lt;identifier&gt; usage (definite).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includes empirical studies of foreign-function interfaces (FFIs) and multi-language codebases, static analysis approaches that inspect abstract syntax trees (ASTs) for language interop, build-validation techniques that exercise toolchains to confirm static findings, and microbenchmark studies measuring cross-language call overhead. Existing methods either rely on simple text searches (which produce false positives from commented imports or generated code), or on AST-only detectors that do not validate build-time linker behavior. Vulnerability-focused analyses flag unsafe pointer usage or manual memory management but rarely connect those flags to real-world build/link outcomes or generator-produced bindings (e.g., SWIG, c-for-go). Tooling gaps include weak handling of vendored native binaries, incomplete detection of C++ interop, poor reproducibility (unpinned toolchains), limited monorepo support, and sparse statistical treatment of intra-repo clustering. These limitations leave unanswered how often cgo is actually used, why it is declared without use, and which patterns lead to practical failures.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present an empirical study that characterizes how and why Go projects use cgo, the Go foreign-function interface, and which usage patterns cause build or runtime problems. We design and implement cgoanalyzer, an automated pipeline that combines AST-level heuristics, explicit detection of generator-produced bindings and C++ interop, and hermetic build validation under pinned C and Go toolchains. The main contribution is a reproducible dataset and measurement method linking static evidence (import "C", C.&lt;identifier&gt;, //export) to concrete outcomes (build success, linker errors, failure types) and to performance costs measured by microbenchmarks. Expected outcomes are: (1) quantification of distribution and purposes of cgo usage across strata of popularity, activity, and size; (2) a labeled corpus of definite, declaration-only, and dependent cases with measured precision/recall; and (3) an empirical map of common critical issues and performance trade-offs to guide developers and the Go project.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GitHub public repositories with go.mod; pilot seed = 300 repos stratified 100× by popularity/activity/size; full study target = 1,500–2,000 packages. Record commit SHA and go.mod snapshot for each repo. Annotation: two independent annotators per package, third adjudicator; validation sample = 400 packages. Baselines: (A) simple grep-based detector (text search for import "C"), (B) AST-only detector (detect un-commented import "C" in parsed AST), (C) AST + heuristics (no build validation). Proposed method: cgoanalyzer = AST + heuristics + generator/C++ detection + hermetic CGO_ENABLED=1 build validation. Evaluation metrics: precision, recall, F1 for the "definite" label; build-success rate; counts by failure taxonomy (toolchain-missing, undefined-reference, linker-failure, runtime-crash); prevalence estimates with 95% CIs adjusted for clustering; microbenchmark metrics: median latency per call, mean, SD, and variance components (within-run, between-run). Experimental setup: run static analysis in containerized environment with pinned images (Linux ubuntu:22.04, Go 1.21, gcc-11/clang-14); perform builds with CGO_ENABLED=1; use caches for reproducibility; log full build outputs. Microbenchmarks: Prototype A (thin-wrapper) 1e6 calls, 5 warmups, 30 repeats; Prototype B (callback) 30 repeats, vary cgo.Handle vs integer handles. Environment controls: CPU isolation via cgroups/cpusets, disable turbo/frequency scaling where possible, use monotonic clock source. Comparisons/ablations: (1) ablate build validation to measure how many static positives are false; (2) ablate vendor/native-binary checks to measure over-attribution; (3) ablate C++/SWIG detection to measure misclassification rate for generated bindings. Statistical analysis: use clustered binary models (mixed-effects logistic regression) for prevalence comparisons and report design-effect adjusted effective sample sizes.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mis-parsing of generated code or unusual comment patterns can cause false negatives/positives; hermetic builds may still fail for platform-specific toolchains (MSVC or macOS SDKs) and those cases will be under-represented. Data and evaluation biases: sampling from GitHub and requiring go.mod excludes pre-module and private repositories; stratification by stars/activity may not capture niche domains; monorepo sampling and intra-repo clustering can bias prevalence if not modeled. Scalability and compute limits: full builds with CGO_ENABLED=1 are expensive (≈0.75 CPU-hours per repo); resource limits may force smaller samples or reduced platform coverage. Limits to generalization: results reflect configured toolchains and pinned OS images and may not generalize to Windows/MSVC or macOS-exclusive build behaviors; microbenchmark outcomes depend on host isolation and thus are indicative rather than universally generalizable.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