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agentarceval_arch_eval</w:t>
      </w:r>
    </w:p>
    <w:p>
      <w:r>
        <w:t xml:space="preserve"> </w:t>
      </w:r>
    </w:p>
    <w:p>
      <w:pPr>
        <w:pStyle w:val="Heading2"/>
      </w:pPr>
      <w:r>
        <w:t>Title</w:t>
      </w:r>
    </w:p>
    <w:p>
      <w:r>
        <w:t>AgentArcEval: a scenario-driven evaluation method for architectures of foundation-model-based agents</w:t>
      </w:r>
    </w:p>
    <w:p>
      <w:r>
        <w:t xml:space="preserve"> </w:t>
      </w:r>
    </w:p>
    <w:p>
      <w:pPr>
        <w:pStyle w:val="Heading2"/>
      </w:pPr>
      <w:r>
        <w:t>Short Hypothesis</w:t>
      </w:r>
    </w:p>
    <w:p>
      <w:r>
        <w:t>Agent architectures that explicitly separate planning, execution, and verifiable traces (planner–executor with provenance) cause higher task success and lower hallucination rates than monolithic single-LLM architectures when evaluated on matched tasks and cost budgets.</w:t>
      </w:r>
    </w:p>
    <w:p>
      <w:r>
        <w:t xml:space="preserve"> </w:t>
      </w:r>
    </w:p>
    <w:p>
      <w:pPr>
        <w:pStyle w:val="Heading2"/>
      </w:pPr>
      <w:r>
        <w:t>Related Work</w:t>
      </w:r>
    </w:p>
    <w:p>
      <w:r>
        <w:t>Existing evaluation work for large language models (LLMs) and agents focuses on task-level benchmarks, tool-augmented LLMs, and isolated safety tests. Typical approaches measure final output correctness, end-to-end latency, or isolated factuality, but they do not systematically evaluate agent architecture designs (for example, planner–executor separation, memory condensation, or verifier modules). Prior modular-agent research shows benefits of tools and retrieval but often lacks standardized metrics for trace interpretability, reproducible seeding, and adversarial scenario catalogs. Safety and red-teaming studies probe vulnerabilities but rarely tie failures to architectural causes under controlled, paired-task comparisons. Reproducibility work emphasizes dataset and model version pinning, yet few evaluation suites publish run manifests, deterministic-seed policies, and replay CLIs required to replay non-deterministic agent runs. Limitations: current methods do not (1) isolate architectural effects under matched cost/latency, (2) provide agent-specific scenario catalogues for adversarial and continuous-evolution testing, or (3) combine automated metrics with human-rated trace interpretability with pre-registered statistical plans.</w:t>
      </w:r>
    </w:p>
    <w:p>
      <w:r>
        <w:t xml:space="preserve"> </w:t>
      </w:r>
    </w:p>
    <w:p>
      <w:pPr>
        <w:pStyle w:val="Heading2"/>
      </w:pPr>
      <w:r>
        <w:t>Abstract</w:t>
      </w:r>
    </w:p>
    <w:p>
      <w:r>
        <w:t>Foundation-model-based agents combine large language models, tool calls, retrieval, and memory into compound architectures. Current evaluation methods focus on single-response correctness or isolated safety probes and do not measure how architecture choices affect real-world agent behavior, interpretability, or robustness. We present AgentArcEval, a purpose-built evaluation method that (1) defines agent-aware primary and secondary metrics (task success, hallucination rate, tool-error rate, factual precision, and a Trace-Interpretability Score with provenance), (2) supplies a catalogue of general agent scenarios used to derive concrete trials, and (3) prescribes reproducible artifacts (run manifests, deterministic seeds, replay CLI) and a paired-task experimental design to isolate architectural effects. The main contribution is an operational evaluation blueprint that enables systematic, scenario-driven comparisons of monolithic versus modular agent architectures under matched cost and randomness policies. Expected outcomes are reproducible estimates of architecture effects on success, factuality, interpretability, and safety under adversarial variants, enabling principled architecture choices and comparable reporting across future work.</w:t>
      </w:r>
    </w:p>
    <w:p>
      <w:r>
        <w:t xml:space="preserve"> </w:t>
      </w:r>
    </w:p>
    <w:p>
      <w:pPr>
        <w:pStyle w:val="Heading2"/>
      </w:pPr>
      <w:r>
        <w:t>Experiments</w:t>
      </w:r>
    </w:p>
    <w:p>
      <w:r>
        <w:t>Datasets: 1) Multi-step web/API tasks (synthetic + sampled real API responses) with gold-extracted entities and summaries. 2) Compositional reasoning tasks with gold stepwise proofs. 3) Long-horizon dialogue tasks with required memory uses. 4) Code synthesis tasks with unit-testable outputs. Provide adversarial variants per scenario class (prompt injections, malformed tool payloads, memory poisoning). Baselines: A) Monolithic single-LLM baseline (single model handles planning+execution). B) Planner–Executor modular baseline (planner proposes plan JSON, executor executes). C) Planner–Executor + Memory+Retrieval (condensed memory index). D) Planner–Executor + Verifier (post-hoc factual checker). Models and settings: GPT-4.1 (API), GPT-4o, LLaMA2-13B (local), Mistral-7B (local). Temperatures: 0.0, 0.3, 0.8. Randomness policy: per-call 64-bit seeds logged; deterministic fallbacks for APIs. Metrics (per-trial formulas): Task Success = 1 if final output meets gold acceptance criteria else 0. Hallucination Rate HR = |asserted_facts \ gold_facts| / |asserted_facts|. Tool-Error Rate TER = (#tool_calls with error_code != 0) / total_tool_calls. Factual Precision FP = (#correct_assertions) / (#assertions). Trace-Interpretability Score TIS = 0.4*Completeness + 0.4*Clarity + 0.2*ProvenanceQuality where subscores are 0-1 averages from raters. Report 95% CIs. Statistical tests: primary test H1 via mixed-effects logistic regression success ~ architecture + (1|task_id) + (1|rater); Bayesian alternative with Normal(0,1) priors on architecture effects. Power and sampling: pilot 50 trials per arm per task-class to estimate variance; pre-registered main N ≈ 180–240 trials per arm per task-class for target absolute uplift 0.12–0.15 with α=0.05 and power=0.8. Ablations: remove verifier to measure verifier impact on HR and latency; remove memory condensation to measure long-horizon success delta; vary temperature to test nondeterminism sensitivity. Reproducibility: publish run_manifest per run with model_version, prompt_hash, seeds, vector_index_snapshot; provide replay_run CLI to reproduce traces. Acceptance outputs: pilot ICC(2,k) ≥ 0.7 for TIS, byte-or-canonical-hash replay verification, and reported power tables per task class.</w:t>
      </w:r>
    </w:p>
    <w:p>
      <w:r>
        <w:t xml:space="preserve"> </w:t>
      </w:r>
    </w:p>
    <w:p>
      <w:pPr>
        <w:pStyle w:val="Heading2"/>
      </w:pPr>
      <w:r>
        <w:t>Risk Factors And Limitations</w:t>
      </w:r>
    </w:p>
    <w:p>
      <w:r>
        <w:t>Technical failure modes: nondeterministic cloud APIs and model updates can break byte-level replay; derived seeds may collide or be insecure. Data and evaluation biases: gold references may underrepresent real user variation; adversarial variants may not capture all attack modes. Measurement limits: asserted-fact extraction and canonicalization can misalign with human judgment, causing metric noise. Rater risks: achieving ICC ≥ 0.7 may require extensive training; low ICC threatens interpretability metrics. Scalability constraints: running hundreds of paired trials on high-capacity models is compute- and cost-intensive. Generalization limits: results may not transfer to unseen toolsets, different task distributions, or models with different instruction-following behavior. Governance and legal limits: dataset release may be restricted by API terms or privacy constraints, limiting public reproducibility of some artifacts.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