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aligning_security_compliance_devops</w:t>
      </w:r>
    </w:p>
    <w:p>
      <w:r>
        <w:t xml:space="preserve"> </w:t>
      </w:r>
    </w:p>
    <w:p>
      <w:pPr>
        <w:pStyle w:val="Heading2"/>
      </w:pPr>
      <w:r>
        <w:t>Title</w:t>
      </w:r>
    </w:p>
    <w:p>
      <w:r>
        <w:t>A longitudinal evaluation of the REFA prescriptive DevOps lifecycle to achieve continuous security compliance with IEC 62443-4-1 in critical-infrastructure software</w:t>
      </w:r>
    </w:p>
    <w:p>
      <w:r>
        <w:t xml:space="preserve"> </w:t>
      </w:r>
    </w:p>
    <w:p>
      <w:pPr>
        <w:pStyle w:val="Heading2"/>
      </w:pPr>
      <w:r>
        <w:t>Short Hypothesis</w:t>
      </w:r>
    </w:p>
    <w:p>
      <w:r>
        <w:t>Implementing the REFA prescriptive DevOps lifecycle, which maps IEC 62443-4-1 controls into automated telemetry and processes, causes a statistically significant increase in team compliance composite scores and a reduction in mean time to remediation within six months of adoption compared to teams that do not adopt REFA.</w:t>
      </w:r>
    </w:p>
    <w:p>
      <w:r>
        <w:t xml:space="preserve"> </w:t>
      </w:r>
    </w:p>
    <w:p>
      <w:pPr>
        <w:pStyle w:val="Heading2"/>
      </w:pPr>
      <w:r>
        <w:t>Related Work</w:t>
      </w:r>
    </w:p>
    <w:p>
      <w:r>
        <w:t>Existing work falls into several strands: (1) DevSecOps and compliance-as-code frameworks that integrate security checks into pipelines but often stop at tool integrations without prescriptive lifecycle mapping to specific standards; (2) continuous compliance systems that monitor controls via telemetry but typically use ad-hoc scoring and do not model measurement error; (3) empirical studies of DevOps adoption that are cross-sectional or short-term and do not use causal inference methods for staggered rollouts; (4) measurement-model approaches (e.g., item response models) used in other fields to handle ordinal scores, rarely applied to compliance telemetry; (5) privacy and governance proposals for telemetry that lack concrete pre-registered SOPs or audit-sampling plans. Limitations across prior work include: weak links from standards (like IEC 62443-4-1) to prescriptive process changes, lack of longitudinal causal evidence, insufficient modeling of misclassification in automated signals, limited socio-technical integration, and sparse operational privacy/governance implementations.</w:t>
      </w:r>
    </w:p>
    <w:p>
      <w:r>
        <w:t xml:space="preserve"> </w:t>
      </w:r>
    </w:p>
    <w:p>
      <w:pPr>
        <w:pStyle w:val="Heading2"/>
      </w:pPr>
      <w:r>
        <w:t>Abstract</w:t>
      </w:r>
    </w:p>
    <w:p>
      <w:r>
        <w:t>We address how to adapt DevOps practice so teams continuously meet formal security rules in regulated contexts. We propose and evaluate REFA, a prescriptive DevOps lifecycle that maps IEC 62443-4-1 controls into automated telemetry, policy-as-code, and team practices. Our approach combines (1) a composite compliance index built from per-control ordinal scores, (2) a Bayesian measurement model that accounts for telemetry misclassification (false positives and negatives), (3) causal inference for staggered adoption using event-study difference-in-differences and marginal structural models with inverse-probability weighting, and (4) mixed-methods qualitative protocols to capture socio-technical factors. Main contributions are an operational REFA mapping from the standard to DevOps artifacts, a reproducible measurement + causal pipeline that propagates measurement uncertainty into treatment effects, and an audit sampling plan tied to power calculations. Expected outcomes are robust, reproducible estimates of REFA's effect on compliance and remediation speed, an open telemetry schema, and governance artifacts enabling other teams to replicate or adopt REFA in critical-infrastructure settings.</w:t>
      </w:r>
    </w:p>
    <w:p>
      <w:r>
        <w:t xml:space="preserve"> </w:t>
      </w:r>
    </w:p>
    <w:p>
      <w:pPr>
        <w:pStyle w:val="Heading2"/>
      </w:pPr>
      <w:r>
        <w:t>Experiments</w:t>
      </w:r>
    </w:p>
    <w:p>
      <w:r>
        <w:t>Datasets: (A) Pilot telemetry from 4-6 diverse product teams, 3 months baseline + 3 months follow-up, per-event logs and artifact references; (B) Scaled rollout telemetry from 50-80 teams with 12 baseline + 12 post-adoption monthly aggregates; (C) Manual audit labels: stratified samples per control (pilot: 150-300 samples for high-prevalence controls; full study target ≈385 per control for ±5% CI); (D) Synthetic datasets that mirror privacy threat models for reproducibility. Baselines: (1) control teams with no REFA adoption (status quo DevOps), (2) partial adoption (tool-only compliance-as-code), (3) naive aggregate index that does not correct for misclassification. Metrics: primary: composite compliance index (0–1); secondary: mean time to remediation (MTTR), false positive rate (FPR), false negative rate (FNR), inter-rater reliability (Cohen's kappa), ATT estimate and 95% CI, intra-class correlation (ICC), effective sample size (ESS). Experimental setup: aggregate telemetry weekly and monthly (both reported); pre-register weekly vs monthly primary choice. Primary causal analysis: event-study DiD (Callaway &amp; Sant'Anna) with team and time fixed effects and pre-trend windows; sensitivity analyses: marginal structural models (MSM) with stabilized IPTW (explain: weights to adjust for time-varying confounders), TMLE for doubly-robust checks, synthetic control for single-team cases. Measurement model: Bayesian graded-response IRT (explain: models ordinal control scores with item difficulty/discrimination) combined with a control-specific misclassification matrix estimated from audits; propagate posterior draws via Monte Carlo into causal estimators. Diagnostics: pre-trend tests, IPTW overlap histograms and SMD&lt;0.1 threshold, Bayesian Rhat&lt;1.1 and ESS&gt;200, posterior predictive checks, LOO/WAIC for model fit. Ablations: (A) remove measurement-error correction (use observed scores directly), (B) compare equal-weighted vs risk-weighted composite, (C) remove qualitative covariates, (D) aggregation cadence (weekly vs monthly). Reproducibility: share telemetry JSON schema, Dockerized analysis, random seeds, and synthetic data for each experiment.</w:t>
      </w:r>
    </w:p>
    <w:p>
      <w:r>
        <w:t xml:space="preserve"> </w:t>
      </w:r>
    </w:p>
    <w:p>
      <w:pPr>
        <w:pStyle w:val="Heading2"/>
      </w:pPr>
      <w:r>
        <w:t>Risk Factors And Limitations</w:t>
      </w:r>
    </w:p>
    <w:p>
      <w:r>
        <w:t>Technical failure modes: telemetry gaps, schema drift, or high misclassification that prevents reliable composite estimation; Bayesian IRT convergence failures under sparse data (Rhat&gt;1.1 or low ESS). Data and evaluation biases: selection bias if teams self-select into REFA, unmeasured time-varying confounders, and measurement bias from imperfect audits. Scalability and compute: Bayesian posterior sampling and repeated causal estimations are compute-intensive for 50–80 teams and many imputations. Generalization limits: results tied to IEC 62443-4-1 mapping and may not transfer to other standards or non-critical domains. Privacy and governance limits: anonymization may not fully prevent re-identification in small teams; differential privacy noise reduces utility of public releases. Adversarial risks: teams could game telemetry if incentives are observable. Causal inference risks: network spillovers and violation of positivity (lack of overlap in covariates) may invalidate IPTW or DiD assumptions. Resource constraints: audit capacity and personnel hours may limit sample sizes and external validity. Ethical/legal: IRB or jurisdictional constraints on telemetry collection could restrict participation.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