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sim_to_real_concrete_ssda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self-supervised domain adaptation framework combining domain adversarial training, minimum class confusion, and BYOL for concrete damage classification using synthetic coda-wave simulations and unlabeled experimental measurements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self-supervised domain adaptation method that jointly applies domain adversarial training, minimum class confusion loss, and BYOL pretraining on large-scale labeled synthetic coda-wave data will yield higher concrete damage classification performance on unlabeled experimental measurements than a model trained only on synthetic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lines of work include: (1) simulation-driven training where physics-based synthetic waveforms and images are used to train classifiers; (2) domain adaptation methods such as adversarial alignment (which trains a feature extractor to make synthetic and real features indistinguishable), moment-matching or MMD (which aligns distribution moments), and feature-space discrepancy minimization; and (3) self-supervised representation learning (contrastive and predictive tasks, and BYOL-style bootstrapping) that reduces label needs. Limitations: simulation-only training suffers from a sim-to-real gap because sensor physics, noise, and heterogeneity are imperfectly modeled; adversarial-only adaptation can collapse class structure or over-align irrelevant features; MMD/discrepancy methods often fail when complex multimodal signals differ in structure; self-supervised methods alone do not guarantee class-discriminative alignment; and few works integrate physics-aware metadata, surrogate fidelity budgets, uncertainty quantification, and multimodal coda-wave signals in a single reproducible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classifying concrete damage states from experimental coda-wave and ultrasonic measurements when real labeled data are scarce. We propose a simulation-driven, self-supervised domain adaptation framework that transfers labeled knowledge from a large synthetic dataset produced by multiscale concrete-degradation and ultrasonic simulations to unlabeled laboratory measurements. The method fuses three strategies: domain adversarial training to align feature distributions across domains, minimum class confusion loss to reduce ambiguity between damage classes, and BYOL-style self-supervised representation learning to build robust embeddings. The pipeline is metadata-driven, supports multimodal inputs (A-scans, acoustic-emission traces, and optical/DIC fields), and includes surrogate validation and uncertainty quantification procedures. The main contribution is an integrated, reproducible workflow that couples physically realistic simulation, calibrated sensor synthesis, and joint adversarial/contrastive objectives to reduce dependence on experimental labels. We expect improved classification accuracy, better calibration, and measurable uncertainty on real test specimens compared to synthetic-only training, enabling practical deployment with limited labeling.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dataset: 10,000 multimodal samples (ultrasonic A-scans, AE waveforms, RGB/DIC images) generated per specified priors and stratified Latin Hypercube sampling across geometry and defect types; (2) Pilot synthetic: 100-sample reproducible package for ablation tuning; (3) Real experimental set: ~200 runs of laboratory measurements without labels and a labeled few-shot pool of 10 labeled real examples per damage class. Baselines: (A) train-on-sim supervised classifier (no adaptation); (B) supervised fine-tune on few-shot real labels; (C) domain adversarial neural network (DANN) only; (D) BYOL pretrain then supervised fine-tune; (E) minimum class confusion (MCC) only. Proposed: joint SSDA = BYOL + DANN + MCC with multimodal fusion. Metrics: mean Intersection-over-Union (mIoU) for segmentation/mapping tasks, classification accuracy and average precision (AP) for damage labels, expected calibration error (ECE), A-distance and MMD for domain gap, and predictive-interval coverage for UQ. Setup: PyTorch implementations, ResNet-style encoder for each modality with late fusion, classifier head; batch size 64, Adam optimizer lr 1e-3 with cosine scheduler, 100 epochs, weight decay 1e-4; domain-adversarial lambda annealed from 0→1 over first 30 epochs; BYOL augmentations per modality. Splits and seeds: synthetic 80/10/10 train/val/test stratified by metadata; hold-out real-test set unseen to training; fixed global_dataset_seed and per-sample seeds; run each experiment with 5 random seeds (repeatability). Ablations: (i) remove each component (BYOL, DANN, MCC) singly and in pairs; (ii) modality ablation (single-modality vs multimodal); (iii) surrogate-fidelity stress test: replace high-fidelity sensor with surrogates at controlled L2 errors (1%, 5%, 10%) and measure downstream metric degradation; (iv) few-shot scaling: vary labeled real examples per class {5,10,20}. Report means, standard deviations, and paired statistical tests across seeds.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surrogate models may not reach fidelity budgets, causing unquantified bias in downstream tasks; adversarial alignment can collapse class separability if domain classifiers overpower label signals; BYOL-style pretraining may learn features that do not transfer to concrete-specific damage cues. Data/evaluation biases: synthetic priors may omit rare but real failure modes, producing blind spots; labeled few-shot real pool may not cover environmental or sensor coupling variability. Scalability and compute: high-fidelity fracture simulations require substantial CPU core-hours and memory at fine mesh refinements (local 0.2–1 mm), and surrogate training can require multiple GPUs; storage demands for multimodal data (HDF5) scale to TB. Limits to generalization: models tuned to a lab testbed and its sensor suite may not generalize to field conditions, different transducer types, or new concrete mixes. Methodological constraints: identifiability problems in inversion (strongly correlated material parameters) may limit reliable UQ; repeated runs (≥5) may still under-sample rare failure modes.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