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ahtm_reflex_memory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Hardware-accelerated reflex memory augmentation for hierarchical temporal memory to accelerate first-order sequence inference in IoT streams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a spinal-cord-inspired reflex memory (RM) block with a hardware CAM lookup to HTM will reduce first-order sequence inference latency by at least 50% on repetitive IoT-like data while changing multiorder sequence prediction accuracy by no more than ±3 percentage points.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falls into three relevant families: (1) Hierarchical Temporal Memory (HTM) and sequence-memory algorithms that learn sparse distributed representations (SDRs) and multiorder temporal dependencies; (2) associative lookup hardware such as content-addressable memory (CAM) and ternary/CAM accelerators used for fast key-to-value matching; and (3) replay/consolidation and one-shot learning ideas from neuroscience and online learning that reuse past activations to strengthen synapses. Limitations: pure HTM sequence memory can be slow on repeated first-order transitions because it relies on large programmable distal connectivity (many synapses) and soft, iterative updates; CAM accelerators provide fast matching but are typically used as flat caches without graded consolidation semantics or temporal context tags; replay-based consolidation in prior systems risks overwriting or biasing multiorder structure if not gated by context. No prior system tightly couples a graded, provenance-tagged pseudo-observation interface from a lightweight RM cache to HTM consolidation with a hardware CAM optimized for SDR-style keys and on-device adaptivity.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augmenting Hierarchical Temporal Memory (HTM) with a biologically inspired Reflex Memory (RM) block and a hardware-accelerated CAM implementation to speed common, first-order temporal inferences in streaming IoT settings. Reflex Memory stores compact pseudo-observations: a canonical sparse distributed representation (SDR) key, confidence, temporal context tag, provenance, and a graded strength counter. When an RM entry exceeds a consolidation threshold it emits a pseudo-observation that HTM consumes as a distal replay event to grow or strengthen synapses without overwriting multiorder structure. A hardware RM-CAM performs fast bitpacked overlap (AND) + popcount matching and a pipelined comparator tree to achieve low-cycle lookups for N=1024-bit SDRs and M=512 entries. The main contribution is a full software–hardware consolidation contract and a design that preserves HTM’s multiorder inference while accelerating frequent first-order mappings. Expected outcomes are large reductions in per-event inference latency, small or no loss in multiorder prediction quality, and a reproducible hardware/software artifact for edge IoT deployments.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SDR streams: N=1024, active bits k in {10,20,40} (1%–4% sparsity), seeds 0..29, class prototypes 50–500, controlled overlap means 0–10 bits, noise flip rates f in {0,0.01,0.05,0.1,0.2}, salient-event rates p_salient in {0.001,0.01,0.05}. (2) One real-world IoT temporal trace (e.g., periodic sensor telemetry or appliance event logs) converted to SDRs via a fixed encoder. Baselines: TM-only (standard HTM Temporal Memory), RM-only oracle (one-shot supervised RM), and TM+RM (proposed). Hardware testbeds: FPGA BRAM prototype and cycle-accurate co-simulator. Operating point and timing: N=1024, M=512, target clock 150 MHz (1 cycle ≈ 6.67 ns), pipeline mapping reported per-stage. Evaluation metrics: reflex latency percentiles (p50, p95, p99) in ns; reflex accuracy (precision, recall, F1) defined over RM outputs; TM prediction accuracy before and after consolidation; TM-disruption index = max(0, baseline_TM_accuracy − post_consolidation_TM_accuracy); false-positive rate (FP per event); eviction churn (% entries evicted per 10k events); energy per lookup in nJ measured/estimated for FPGA BRAM and ASIC SRAM corner. Sample sizes and stats: 30 seeds × 1000 events per condition (30k events) to support two-proportion z-tests or bootstrap CIs at 95% confidence; report mean ±95% CI. Ablations: sweep novelty_threshold_bits ∈ {2,3,4}, base_inc ∈ {0.01,0.05,0.1}, decay_rate ∈ {0,0.01,0.05}, λ ∈ {4,8,16} for normalized strength, M ∈ {256,512,1024}, and bank concurrency (single vs multi-bank). Microbenchmarks: per-lookup cycle breakdown (SRAM read, wordwise AND, popcount stages, comparator), measured latency and energy on FPGA, and co-simulated ASIC timings. Acceptance criteria tests: latency reduction ≥50% median vs TM-only for first-order events and TM-disruption index &lt;3% absolute. Report detailed per-condition tables and Pareto plots (latency vs accuracy vs energy).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(1) false positives from accidental SDR overlaps leading to incorrect reflex outputs; (2) pathological overconsolidation that biases or degrades HTM multiorder structure; (3) eviction churn in limited RM capacity causing instability. Hardware constraints: BRAM/SRAM resource limits, comparator and popcount logic may exceed target LUT/area, and fixed-point LUT approximations (exp, ln, sqrt) introduce numerical error affecting thresholds. Timing and energy: pipeline cycle targets may not hold at higher clock rates or different FPGA/ASIC corners; per-lookup energy may be higher than anticipated. Evaluation biases: synthetic SDRs may not capture real-world temporal correlations; single real IoT trace is limited in diversity. Scalability limits: behavior at much larger N or M or high event rates may require different banking or hierarchical RM designs. Concurrency and correctness: atomicity of lookup/update/evict across banks is nontrivial and requires careful RTL assertions; incomplete verification risks subtle bugs. Generalization: gains on repetitive first-order patterns may not transfer to domains dominated by rare or highly nonstationary sequences.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