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locomamba_mamba_fusion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Locomamba: end-to-end vision-driven quadrupedal locomotion using selective state-space MAMBA for cross-modal fusion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Fusing proprioception and depth via a stacked selective state-space backbone (MAMBA) in an end-to-end PPO policy reduces fall rate and energy-per-meter while increasing forward progress relative to standard concatenation or transformer-based fusion, when trained under identical compute and domain randomization conditions.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for vision-driven legged locomotion fall into a few families: 1) end-to-end deep reinforcement learning that concatenates proprioceptive vectors with CNN visual features and trains policies with PPO or similar optimizers; 2) methods that separate perception and control (perception produces mid-level affordances fed to a locomotion controller); 3) temporal sequence models (RNNs, transformers) applied to fused tokens for longer-horizon reasoning; and 4) state-space or latent-dynamics models used for planning or imagination. Limitations observed across these approaches include: sensitivity to visual appearance and lighting when naive CNN features are used; quadratic compute/memory scaling with token length for standard transformers, which limits look-ahead horizon; limited selective cross-modal integration (simple concatenation does not prioritize modality reliability); and poor uncertainty-aware fallback behavior. Prior state-space models improve long-horizon modeling but often do not provide a selective, cross-modal fusion backbone that scales near-linearly while preserving per-token attention to reliable modalities. Robust sim-to-real transfer is also an open challenge, with many methods relying on heavy domain randomization or decoupled adapters without joint end-to-end training.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Locomamba, a vision-driven, end-to-end reinforcement learning framework for quadrupedal locomotion that uses MAMBA, a selective state-space model, as a cross-modal fusion backbone. Proprioceptive states are embedded with a small multilayer perceptron and depth images are patchified by a lightweight CNN into spatial tokens designed for selective scanning by MAMBA layers. Stacked MAMBA layers fuse proprioception and depth tokens using selective state-space scanning, enabling near-linear time and memory scaling with token length and supporting long-horizon look-ahead. The policy head is trained end-to-end with PPO on MAMBA-fused features, combined with terrain and appearance randomization, an obstacle-density curriculum, and a compact state-centric reward balancing progress, energy efficiency, and safety. The main contribution is the demonstration that selective state-space fusion yields more foresightful and robust locomotion under realistic visual changes while maintaining computational efficiency. Expected outcomes are lower fall rates, improved energy-per-meter, and stable sim-to-real transfer readiness compared to concatenation or transformer fusion baselines.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Environments: 1) Simulated locomotion suite with flat, rough, stairs, and obstacle fields; randomized textures, lighting, and camera intrinsics (progressive domain randomization). 2) Pretraining corpus: 500k simulated depth images with DR and 50k real lab depth captures for linear-probe validation. Baselines: A) concat-fusion: CNN visual encoder + proprio MLP concatenated; B) transformer-fusion: ViT-style patch tokens + proprio tokens with a standard transformer; C) MAMBA-ablations: (i) MAMBA without selective scanning, (ii) single MAMBA layer, (iii) MAMBA with no proprioceptive tokens. Training regime: end-to-end PPO, identical hyperparameters across methods; total training schedule in three phases: bootstrap 5M env steps, vision integration +20M, robustification +50M → total 75M env steps. Hardware: A100 GPUs; bootstrap on 8 GPUs, vision on 16, robustification queued on 32. Seeds and repeats: 5 random seeds per condition; each evaluation uses 50 episodes per seed (250 episodes per condition). Evaluation metrics: fall rate (fraction of episodes ending in fall), distance progressed per episode (m), energy-per-meter normalized by mass (J/m/kg), median and 95th percentile ZMP/CoP margin (m), normalized torque utilization τ_util = |τ_cmd|/τ_limit, ensemble disagreement d_j = clamp(std_i(τ_ij)/τ_range_j,0,1) where τ_range_j = 2·τ_limit_j (torque limits are static hardware limits), compute: training GPU-hours and inference latency (ms), and memory (GB). Calibration and uncertainty metrics: Expected Calibration Error (ECE) with 15 quantile bins (equal-mass bins), Negative Log-Likelihood (NLL), ensemble mutual information estimated as H[mean p] - mean H[p] over predictive distributions, and ensemble rank statistics. Statistical plan: preregister primary safety hypothesis and top-3 ablation hypotheses; use mixed-effects linear models for continuous outcomes with fixed effect = method and random intercepts for seed and episode to account for within-seed/episode correlation (mixed-effects models allow separating between-seed variance from within-seed variance). For binary outcomes (fall), use mixed-effects logistic regression. Correct multiple comparisons using Benjamini-Hochberg false discovery rate control. Sample-size basis: pilot variance estimates (from initial 200-episode pilots) will be used; default evaluation per condition = 5 seeds × 50 episodes; power target 0.8 to detect medium effect (Cohen's d≈0.5). Ablation studies: 1) ensemble size (1 vs 3 vs 5 heads) — 3 seeds × 20M steps each; 2) latent dimension (32/64/128) — 3 seeds × 20M; 3) imagination horizon (10/20/40) — 3 seeds × 10M; 4) auxiliary losses (depth, inverse-dynamics) on/off — 3 seeds × 10M. Validation splits and leakage prevention: validation datasets are temporally disjoint from training rollouts; pretraining linear-probe held-out real set is 10% of real captures reserved before any training. ECE and calibration computed on held-out validation sets only. Latency and MPC profiling: measure median and 95th percentile solve times under three background-load scenarios (idle, 50% CPU load, 90% CPU load) on a reference CPU (Intel Xeon 24-core) and real-time tuned Linux with SCHED_FIFO; warm-started solves over 1000 sequential solves to report distribution. Closed-loop disturbance tests: adversarial multi-factor tests combining lighting shift + lateral push + sensor dropout; log state-distribution shift after blending/fallback and measure oscillation frequency of state transitions (number of normal↔fallback toggles per episode). Per-step logs: record d_j, α_j, τ_policy_j, τ_safe_j, τ_final_j, MPC feasibility flag, and safety gate triggers for offline diagnosis.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1) cascading distribution shift: blending or fallback can move the system into states unseen in training, increasing uncertainty and causing repeated fallback oscillations. 2) miscalibrated ensemble uncertainty: poor calibration yields false safety triggers or missed failures. 3) MPC latency outliers: worst-case solve times may force fallback and degrade performance. Data and evaluation biases: simulated terrains or lab captures may not cover real-world texture/lighting diversity, leading to over-optimistic sim-to-real performance. Scalability and compute limits: MAMBA stacking reduces asymptotic cost but training long-horizon models with many tokens still requires substantial GPU-hours; resource limits may force lower-resolution images or shorter horizons. Generalization limits: policies trained with depth-only input may fail under degraded sensor conditions (e.g., heavy rain, reflective surfaces) or different camera viewpoints. System-ID and identifiability limits: some physical parameters (e.g., distributed friction fields) may be unidentifiable from available trajectories, leading to biased simulations. Safety validation limits: PD_FALLBACK stabilization proofs are empirical and may not cover all hardware degradations (actuator heating, sensor failures). Operational risks: automated adapter updates or rollback triggers could be too conservative or too aggressive if thresholds are mis-set, impacting availability. These risks constrain deployment readiness and require careful pre-deployment pilots and monitoring.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