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adapkooppc_mixed_traffic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Adaptive deep Koopman predictive control for mitigating traffic oscillations in mixed human-driven and connected automated vehicle flow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Integrating an adaptive deep Koopman linearization of heterogeneous human-driven vehicle dynamics into a model predictive controller for connected automated vehicles reduces speed and spacing oscillation amplitudes by at least 10% versus a baseline MPC using nominal HDV models under identical mixed-traffic conditions.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to oscillation mitigation include rule-based controllers, classical model predictive control (MPC) using fixed linearized human-driver models, robust MPC with hand-crafted uncertainty sets, and recent data-driven Koopman or neural-lifted models. Classical MPC is limited by model mismatch when human drivers behave nonlinearly or heterogeneously. Robust MPC can be conservative when uncertainty sets are large or poorly estimated. Data-driven Koopman methods promise linear representations of nonlinear dynamics (Koopman linearization: lift nonlinear states into a higher-dimensional linear space) but existing work often assumes homogeneous drivers, uses fixed lifts learned offline, lacks statistically grounded uncertainty mapping, or does not integrate projection/certification steps needed for real-time MPC. Open issues include identifiability of latent lifted states, heavy-tailed residuals from naturalistic data, LMI (linear matrix inequality) scalability for certification as lifted dimension grows, and end-to-end reproducibility for deployment.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We propose an adaptive deep Koopman predictive control framework (AdapKoopPC) to mitigate traffic oscillations in mixed traffic containing heterogeneous human-driven vehicles (HDVs) and connected automated vehicles (CAVs). The method learns a data-driven encoder that maps observed vehicle interactions into a lifted linear state space (Koopman space) and fits a time-varying linear model (A) using an adaptive AdapKoopNet; this linear model is projected to satisfy spectral-contraction constraints and embedded into a real-time model predictive controller. The main contribution is an end-to-end pipeline that (1) converts residual statistics into LMI-friendly uncertainty sets (ellipsoidal and polytopic), (2) computes certified admissible model perturbation bounds (delta_max) for robust MPC feasibility, and (3) demonstrates scalability through projection routines and solver benchmarks. Expected outcome: reproducible reductions in oscillation amplitudes and improved macroscopic flow metrics under realistic mixed-traffic scenarios, with quantified statistical confidence and documented computational costs for real-time deployment.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(1) Synthetic: SUMO/Flow-generated platoons with randomized IDM/Wiedemann-like driver parameter distributions covering densities {low,med,high}, platoon N in {10,25,50}, AV% in {0,10,30,50}, leader disturbances (single brake pulse; stochastic jitter); generate &gt;=1000 trajectories per regime where feasible. (2) Augmented-real: instrumented freeway trajectory segments downsampled/annotated to match schema. Baselines: (A) no CAV control, (B) MPC with nominal linearized HDV model, (C) non-adaptive deep Koopman MPC without spectral projection, (D) robust MPC using naive ellipsoidal uncertainty from residual variance. Evaluation metrics: oscillation amplitude (time-domain peak-to-peak and RMS), L2 string-stability gain (empirical induced L2 norm; lower is better), average throughput (vehicles/hour), fuel proxy (integral of speed*acceleration^2), solver latency (median and 99th percentile). Experimental setup: pre-registered scenario matrix with 100 Monte Carlo runs per cell; control loop targets 10–20 Hz; solvers OSQP and qpOASES. Ablations: turn off spectral-norm projection, replace ellipsoidal with polytopic uncertainty, vary lifted dimension n in {20,50,100}. Acceptance criteria: AdapKoopPC achieves &gt;=10% reduction in oscillation RMS vs baseline (B) with solver median latency within 80% of control period. Statistical tests: ANOVA and bootstrap 95% CIs. Reproducibility: seeded notebooks, DVC dataset tags, and containerized runtime.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Identifiability failure: learned encoder may not produce an observable lifted state (poor observability Gramian condition), making projection and certification invalid. Heavy-tailed residuals: naturalistic driver behavior can produce tails that invalidate sub-Gaussian concentration bounds and inflate w_max estimates, causing excessive conservatism or infeasible LMIs. Domain shift: models trained on simulated or limited-field data may not generalize to new corridors or densities. LMI scalability: lifted dimension and number of uncertainty vertices can make certification LMIs computationally infeasible on target hardware; modal truncation reduces certification strength. Real-time compute limits: solver latency or communication delays may exceed the 80% control-period rule, preventing practical deployment. Safety and standards: achieving traceable ISO/ASIL evidence requires specific artifacts (HIL logs, unit tests) that increase schedule risk. Evaluation bias: synthetic scenario distributions and labeling choices can bias results and overstate gains. These are intrinsic limits and may cause negative or inconclusive experimental outcomes.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