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hypergraph_ssm_node_classification</w:t>
      </w:r>
    </w:p>
    <w:p>
      <w:r>
        <w:t xml:space="preserve"> </w:t>
      </w:r>
    </w:p>
    <w:p>
      <w:pPr>
        <w:pStyle w:val="Heading2"/>
      </w:pPr>
      <w:r>
        <w:t>Title</w:t>
      </w:r>
    </w:p>
    <w:p>
      <w:r>
        <w:t>Hypergraph neural networks with state-space sequence encoders for node classification</w:t>
      </w:r>
    </w:p>
    <w:p>
      <w:r>
        <w:t xml:space="preserve"> </w:t>
      </w:r>
    </w:p>
    <w:p>
      <w:pPr>
        <w:pStyle w:val="Heading2"/>
      </w:pPr>
      <w:r>
        <w:t>Short Hypothesis</w:t>
      </w:r>
    </w:p>
    <w:p>
      <w:r>
        <w:t>Fusing role-aware hyperedge encodings produced by state-space sequence models with adjacency-based node embeddings via a learnable transformer-like fusion yields higher mean test macro F1 on DBLP, Cora-hypergraph, and MovieLens user-group benchmarks than adjacency-only GNNs and standard hypergraph baselines when trained under the same compute budget and evaluated across multiple random seeds.</w:t>
      </w:r>
    </w:p>
    <w:p>
      <w:r>
        <w:t xml:space="preserve"> </w:t>
      </w:r>
    </w:p>
    <w:p>
      <w:pPr>
        <w:pStyle w:val="Heading2"/>
      </w:pPr>
      <w:r>
        <w:t>Related Work</w:t>
      </w:r>
    </w:p>
    <w:p>
      <w:r>
        <w:t>Existing approaches for node classification on hypergraphs fall into several families: (1) adjacency-only graph neural networks that ignore higher-order hyperedge structure and therefore miss group interactions; (2) hypergraph convolution and spectral diffusion methods that treat hyperedges as primitive sets but typically use simple symmetric pooling (mean/max) and thus cannot model internal ordered patterns inside large hyperedges; (3) set-function models (e.g., DeepSets-style) that are permutation-invariant but limited in capturing sequential or positional patterns within hyperedges; (4) prior hypergraph neural models that adopt attention or pairwise projections but suffer from over-smoothing and scalability issues when hyperedges are large; (5) sequence and state-space models (SSMs) that handle long-range interactions in sequences but have not been combined systematically with hypergraph structure. Limitations across these lines include sensitivity to permutation of hyperedge members, inability to represent role-aware (position/role) information inside hyperedges, scalability problems for very large S = sum_e |e|, and a lack of mechanisms to fuse complementary adjacency and role-based signals under stable training constraints.</w:t>
      </w:r>
    </w:p>
    <w:p>
      <w:r>
        <w:t xml:space="preserve"> </w:t>
      </w:r>
    </w:p>
    <w:p>
      <w:pPr>
        <w:pStyle w:val="Heading2"/>
      </w:pPr>
      <w:r>
        <w:t>Abstract</w:t>
      </w:r>
    </w:p>
    <w:p>
      <w:r>
        <w:t>We address node classification on hypergraphs by introducing a model that integrates role-aware hyperedge representations computed by state-space sequence encoders with standard adjacency-based node embeddings. A learnable transformer-like fusion module combines the two views, while hypergraph convolution layers model node-hyperedge interactions and residual connections reduce over-smoothing. Role-aware representations treat the members of each hyperedge as an ordered sequence fed to a state-space model (SSM), which can capture long-range and positional patterns; adjacency embeddings summarize graph neighborhood relations. The main contributions are (1) an architecture that fuses SSM-based hyperedge encodings and adjacency signals, (2) practical ordering strategies and an adaptive order-averaging rule to approximate permutation invariance, and (3) a reproducible experimental protocol including complexity estimates and stability tests. We expect this combination to produce richer node features and improved classification performance on both transductive and inductive hypergraph benchmarks, while providing explicit measurements of compute, memory, and permutation bias.</w:t>
      </w:r>
    </w:p>
    <w:p>
      <w:r>
        <w:t xml:space="preserve"> </w:t>
      </w:r>
    </w:p>
    <w:p>
      <w:pPr>
        <w:pStyle w:val="Heading2"/>
      </w:pPr>
      <w:r>
        <w:t>Experiments</w:t>
      </w:r>
    </w:p>
    <w:p>
      <w:r>
        <w:t>Datasets: (1) DBLP co-authorship hypergraph (labels = research area), transductive and inductive splits; (2) Cora-derived co-authorship/citation hypergraph, transductive; (3) MovieLens user-group hypergraph with inductive holdout of new users/items; (4) synthetic hypergraph SBM with tunable hyperedge sizes and noise. Splits and seeds: transductive: 20 labeled nodes/class train, 500 val, rest test; inductive: hold out 20% nodes and all incident hyperedges for test; seeds = [42, 7, 1234, 2021, 999]; run each config with 5–10 seeds. Baselines: adjacency-only GNNs (GCN, GAT), hypergraph convolution/diffusion (HyperGCN-style), HNHN (heterogeneous hypergraph networks), DeepSets set model on hyperedges, diffusion-only spectral model, and a simple MLP on node features. Proposed variants: Incidence-SSM (encode each hyperedge as SSM sequence), Node-SSM (encode per-node incident sequence), Hybrid Spectral-SSM (diffusion then SSM), fusion module variants (learnable transformer-like, gated-sum). SSM backbones: S4 full, S4D/DPLR, HiPPO variants; state_dim ∈ {32,64,128}, layers ∈ {2,4,6}. Ordering strategies ablation: order-avg K ∈ {1,4,16}, attention-guided deterministic ordering, permutation augmentation (random reorder each epoch), invariant pooling (mean/max). Losses: cross-entropy for node labels; optional InfoNCE contrastive loss with λ ∈ {0,0.1,1.0} to enforce permutation consistency. Metrics: accuracy, macro and micro F1, expected calibration error (ECE), runtime (GPU-hours), peak GPU memory, robustness under node/hyperedge dropout (report embedding-change ratio). Experimental setup: AdamW lr=1e-3, weight_decay=1e-4, cosine decay with 5% warmup, epochs=200 with early stopping; chunk length L=512, spectral radius cap ∈ {0.7,0.9,0.95}; mixed precision allowed. Ablation studies: (A) ordering strategies and K impact on performance and permutation bias estimates; (B) Incidence-SSM vs Node-SSM vs Hybrid on same compute budget; (C) fusion module designs; (D) contrastive loss ablation. Statistical testing: paired Wilcoxon signed-rank test across seeds, report mean ± 95% CI and effect sizes.</w:t>
      </w:r>
    </w:p>
    <w:p>
      <w:r>
        <w:t xml:space="preserve"> </w:t>
      </w:r>
    </w:p>
    <w:p>
      <w:pPr>
        <w:pStyle w:val="Heading2"/>
      </w:pPr>
      <w:r>
        <w:t>Risk Factors And Limitations</w:t>
      </w:r>
    </w:p>
    <w:p>
      <w:r>
        <w:t>Permutation bias: deterministic orderings can introduce systematic bias; adaptive order-averaging may cost extra compute and caching can go stale across epochs. Compute and memory: total sequence size S = sum_e |e| can exceed GPU limits; large hyperedges require chunking or reduced K, which may reduce accuracy. Training stability: SSM spectral norms, FP16 mixed precision, and checkpointing can cause numeric instability or non-determinism. Over-smoothing and overfitting: deep hypergraph convolutions can wash out signals, especially on small labeled sets. Evaluation bias: chosen datasets may not cover all real-world hyperedge distributions (long tails); synthetic SBM may not reflect complex correlations. Reproducibility: FP16 determinism, CuDNN non-deterministic kernels, and RNG seeding across libraries complicate exact replication. Generalization limits: improvements on chosen benchmarks may not transfer to hypergraphs with fundamentally different formation processes (e.g., temporal hyperedges or semantic groups).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