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rp_quantile_inceptiontime_protection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Recurrence-plot and change-quantile based InceptionTime supervised and semi-supervised protection for transmission lines connected to photovoltaic plants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Fusing recurrence-plot derived recurrence quantification features with change-in-quantile three-phase current features and classifying via an InceptionTime neural network using ReliefF-selected inputs, with semi-supervised label spreading/propagation/self-training on unlabeled data, will (a) increase fault detection sensitivity by at least 5 percentage points and (b) reduce median detection delay by at least 20% compared to a conventional distance/overcurrent baseline, while achieving an operational false-trip rate no greater than 1 per 1,000 hours in lab/HIL tests.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for transmission-line protection include conventional impedance/distance and overcurrent relays (fast but limited under converter-interfaced sources), time-series feature detectors (CUSUM, energy-based), nonlinear dynamical features such as recurrence quantification analysis (RQA) for fault signatures, and deep time-series classifiers (e.g., InceptionTime) trained on waveform windows. Separately, change-in-quantile or sequential quantile detectors and streaming quantile summaries (GK, t-digest) have been used for fast transient detection. Semi-supervised learning (label propagation, label spreading, self-training) and feature selection methods (ReliefF) reduce labelled-data needs in other domains. Limitations in prior work include: poor robustness of conventional relays under inverter dynamics and high-resistance faults; RQA methods often too slow or hyperparameter-sensitive for embedded use; streaming quantile estimators lack end-to-end calibration into sequential detectors; deep classifiers need large labeled libraries and offer limited explainability; few works fuse nonlinear dynamical features with quantile-change statistics and semi-supervised training under strict latency, memory, and ARL0 requirements for PV-connected transmission-line protection.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single-ended protection of transmission-line segments connecting the grid to photovoltaic (PV) plants under inverter-dominated dynamics and scarce labeled fault data. The proposed approach fuses two complementary feature streams: recurrence-plot derived nonlinear dynamical descriptors (RQA metrics) and change-in-quantile statistics computed on three-phase currents (quick, robust quantile estimators). These features are selected by ReliefF and classified by an InceptionTime deep network; semi-supervised paradigms (label spreading, label propagation, self-training) exploit large unlabeled H0 archives to reduce labeled-data requirements. The main contributions are (1) a low-latency fusion architecture that meets relay-style timing and memory budgets, (2) a calibration pipeline that embeds streaming-quantile uncertainty into sequential detectors (CUSUM) for controlled false-trip rates, and (3) a pre-registered experimental plan including Monte-Carlo and bootstrap budgets for ARL0 confidence. Expected outcome: a deployable, explainable protection module that improves detection sensitivity and shortens detection delay for faults on PV-connected lines while providing statistical guarantees on false-trip rates.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EMT simulations in PSCAD/EMTDC and RTDS plus replayable HIL traces: WSCC 9-bus and IEEE 39-bus topologies with a PV plant model, sampling rates 4 kHz and 2 kHz. Null (H0) data: target 10,000 hours lab-equivalent (initial) and up to 30,000 hours for ARL0 scaling; labeled faults: per class (L-G, L-L, L-L-G, 3P) lower=2,000, target=5,000, upper=8,000 events distributed over inception angles (0–345° every 15°), fault locations (0–100% line in 5% steps), and Rf bins (0–5 Ω, 5–20 Ω, 20–100 Ω). Baselines: (1) conventional distance/overcurrent relay (industry settings), (2) InceptionTime trained on raw windows only, (3) quantile-CUSUM only, (4) RP/RQA+classical classifier (SVM). Model variants: supervised fusion (RP+quantile+InceptionTime), semi-supervised variants (label spreading, label propagation, self-training), and ablations removing RP, removing quantiles, and removing ReliefF. Evaluation metrics: detection sensitivity (per-class), specificity, median detection delay (ms), 95th-percentile delay (ms), ARL0 (false trips/hour) with 95% CI, ROC AUC, phase-identification accuracy, fault-location error (percentage of line length), compute latency (quantile→RP→inference→decision), memory peak. Experimental setup: 5-fold stratified cross-validation by PV penetration and inverter type, fixed random seeds, Monte-Carlo replications ≥10,000 for estimator bias/variance curves, bootstrap resamples 1,000–5,000 for ARL0 95% CI, pre-registered primary metric = detection sensitivity at ARL0 ≥ target, hypothesis test alpha=0.05, equivalence margins defined per metric. Hardware profiling: measure runtimes on specified CPUs (ARM Cortex-A72 2.0 GHz and Intel i7-8665U 1.9–4.8 GHz) under isolated and loaded conditions; report worst-case tails (99th percentile) per stage. HIL and adversarial tests: replay selected traces with timestamp jitter ±50 to ±1000 μs, sensor spoofing amplitude up to 20%, coordinated multi-point fault injections, and communication loss; report pass/fail per pre-registered acceptance thresholds. Deliverables: full dataset snapshot (sanitized), containerized inference stack, seeds, benchmarking scripts, and pre-registered ablation protocol.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false trips due to inverter oscillations or coordinated transients; missed detection for very high-resistance faults or faults near PV terminals. Data biases: EMT models may not capture all field inverter behaviors, causing transfer gaps. Label scarcity: semi-supervised methods can amplify label noise if initial labels are biased. Compute and latency limits: RP construction scales O(n^2) and may exceed budgets for large windows or slow CPUs; streaming quantile estimators have estimation variance at very small sample counts. Statistical limits: ARL0 estimates require very large H0 hours for tight confidence; bootstrap assumptions may fail under strong nonstationarity. Generalization: trained models may degrade under unseen inverter firmware, topology, or extreme weather; phase identification and precise location accuracy may be lower near terminals. Explainability limits: RQA features are abstract and may be hard for operators to map directly to physical causes without additional visualization/translation layers. Security/adversary risks: sensor spoofing and coordinated attacks could produce false acceptance or denial; defenses are out of scope. Operational constraints: regulatory acceptance requires extensive HIL and field trials beyond the lab scope.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