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fb_pwa_rural_cancer_prevention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development and pilot-testing of a Facebook-delivered web intervention to reduce cancer risk behaviors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a co-created, theory-based Facebook group plus offline-capable web intervention will increase HPV vaccine initiation within 3 months by at least 15 percentage points compared to usual care among rural emerging adults aged 18–25.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tested web- and mobile-based behavior-change interventions and social-media interventions aimed at single cancer risk behaviors (for example, HPV vaccination or smoking cessation). Existing approaches often rely on single-channel delivery (mobile app or web only), use top-down message design rather than community co-creation, focus on one behavior at a time, and recruit primarily from urban or convenience samples. Verification of behavioral outcomes is commonly self-report without linkage to immunization registries, and many pilots are underpowered, have short follow-up, and do not address low-connectivity or accessibility for rural users. Few studies integrate offline-first technical designs (progressive web app, PWA) or formal IIS (Immunization Information System) linkage and legal/data-governance templates. These gaps limit generalizability to rural emerging adults, multi-behavior prevention, objective outcome verification, and real-world scalability.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multiple modifiable cancer risk behaviors and access barriers to prevention. This mixed-methods project develops and pilot-tests a theory-driven, community-engaged web intervention co-created with rural emerging adults and stakeholders, delivered via Facebook private groups and an offline-capable progressive web app (PWA). The intervention targets HPV vaccination, tobacco use, and sun-protection behaviors and links behavioral outcomes to objective verification using state Immunization Information Systems (IIS) and optional salivary cotinine. Primary contributions are: (1) a co-creation pipeline integrating qualitative usability testing into message tailoring; (2) an offline-first technical architecture for low-bandwidth rural settings; and (3) an operational protocol for IIS linkage and objective outcome verification. We will measure feasibility (recruitment, retention, module completion), 3-month behavioral outcomes (HPV initiation, tobacco 7-day point prevalence, sun-protection frequency), and mediator changes (self-efficacy, intention). Expected results are feasibility parameters, preliminary effect-size estimates to power a definitive trial, and reproducible operational templates for rural cancer-prevention implementation.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Participants: N=100 rural emerging adults aged 18–25 residing in RUCA-defined nonmetropolitan ZIP codes. Recruitment sources: FQHC/clinic rosters, colleges/training programs, social media, community events. Study design: single-arm mixed-methods pilot with a nested randomized A/B sub-study. All participants receive the co-created Facebook-group + PWA intervention; within the sample, participants are randomized 1:1 (n≈50 each) to tailored messaging (messages adapted by qualitative input and behavior-state) versus standard generic messages (ablation). Datasets: participant survey data (baseline, immediate posttest, 3 months), platform logs (module completion, timestamps), IIS vaccination records (HPV initiation dates), and optional salivary cotinine for a subsample (n=30). Baselines: individual baseline self-report measures and regional historical HPV initiation rates for contextual comparison. Baselines for biochemical verification are 0 unless prior use recorded. Baselines and historical rates are used only for descriptive comparison, not inferential substitution. Baselines/baseline measures: self-reported prior HPV doses and tobacco use. Primary outcome: HPV vaccine initiation by 3 months, verified via IIS. Secondary outcomes: 7-day tobacco point prevalence abstinence (PPA) at 3 months (self-report; cotinine-confirmed subset), sun-protection frequency score (validated items). Engagement metrics: module completion percentage, median time-to-sync, retention at 3 months. Evaluation metrics: risk difference and 95% CI for HPV initiation (primary); odds ratios and absolute differences for secondary outcomes; module completion rates and median engagement times. Statistical analysis: intention-to-treat (all enrolled), GLMM with random intercept per recruitment site for repeated measures: logit[P(Y_it)] = beta0 + beta1 Time_t + beta2 Arm + beta3 Covariates + u_i. Report marginal risk differences via model-based marginalization. Missing data: multiple imputation (MICE) with 20 imputations including engagement covariates; sensitivity analysis with pattern-mixture models. Multiplicity: designate HPV initiation primary; apply Benjamini-Hochberg FDR q&lt;=0.10 for exploratory secondary outcomes. Mediation: exploratory causal mediation with nonparametric bootstrap of indirect effect on HPV initiation via intention/self-efficacy. Ablation: compare tailored vs standard messages on engagement and HPV initiation; additional exploratory comparison of participants who used PWA offline features frequently (&gt;25% content cached) versus low offline use on retention and outcomes. Pre-registration: preregister estimand, analysis code templates (R: lme4, mice, mediation), and interim Bayesian decision parameters for nested A/B analyses.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PWA sync conflicts, service-worker bugs, or hosting outages causing data loss or engagement drop. Data linkage limits: IIS access delays, inconsistent field coverage across states, low matching rates, and DUA approval timelines. Measurement bias: reliance on self-report for some measures may introduce social desirability or recall bias. Sample bias: recruitment channels may under-represent subgroups (tribal, low-SES) despite oversampling plans. Attrition: 3-month loss to follow-up may reduce precision; pilot size limits power for causal inference and mediation analysis. Ethical/legal limits: state rules for emancipated minors and collection of biological samples vary and may restrict inclusion. Security and governance constraints: key-management, hosting compliance (HIPAA/NIST) and audit requirements increase operational complexity. Scalability/cost: salivary cotinine and IIS integration add per-participant costs and staff time that may limit large-scale deployment. Generalization: results from these rural counties and ages 18–25 may not generalize to older adults, urban populations, or other geographic contexts.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