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a2ar_cp_csf_hydrocephalus</w:t>
      </w:r>
    </w:p>
    <w:p>
      <w:r>
        <w:t xml:space="preserve"> </w:t>
      </w:r>
    </w:p>
    <w:p>
      <w:pPr>
        <w:pStyle w:val="Heading2"/>
      </w:pPr>
      <w:r>
        <w:t>Title</w:t>
      </w:r>
    </w:p>
    <w:p>
      <w:r>
        <w:t>Integrated ex vivo, genetic, PK/PD, and in vivo MRI investigation of adenosine A2A receptor signaling in choroid plexus as a driver of CSF hypersecretion and ventriculomegaly in hydrocephalus</w:t>
      </w:r>
    </w:p>
    <w:p>
      <w:r>
        <w:t xml:space="preserve"> </w:t>
      </w:r>
    </w:p>
    <w:p>
      <w:pPr>
        <w:pStyle w:val="Heading2"/>
      </w:pPr>
      <w:r>
        <w:t>Short Hypothesis</w:t>
      </w:r>
    </w:p>
    <w:p>
      <w:r>
        <w:t>Activation of adenosine A2A receptors (A2AR) in choroid plexus epithelium increases CSF secretion and causes ventriculomegaly via PI3K/AKT‑dependent SPAK phosphorylation and NF‑κB‑driven upregulation of ATP1A2, and pharmacologic A2AR antagonism (istradefylline) prevents these effects.</w:t>
      </w:r>
    </w:p>
    <w:p>
      <w:r>
        <w:t xml:space="preserve"> </w:t>
      </w:r>
    </w:p>
    <w:p>
      <w:pPr>
        <w:pStyle w:val="Heading2"/>
      </w:pPr>
      <w:r>
        <w:t>Related Work</w:t>
      </w:r>
    </w:p>
    <w:p>
      <w:r>
        <w:t>Prior research has characterized choroid plexus (CP) as a key site for cerebrospinal fluid (CSF) secretion and identified ion transporters (e.g., NKCC1, CFTR, Na+/K+ ATPase) and signaling cascades that regulate fluid output. Studies of adenosine receptors in brain show A2A receptors are Gs‑coupled (they raise cAMP) and affect ion transport in some epithelia, and A2AR antagonists have clinical use outside CSF disorders. Work linking SPAK kinase and PI3K/AKT to transporter phosphorylation, and NF‑κB to transcriptional control of transporters, shows plausible pathways for acute and longer‑term regulation of CP transport. Limitations in existing approaches include lack of CP‑specific A2AR causal tests, sparse integration of acute signaling readouts with chronic in vivo ventricular imaging, limited PK/occupancy data in CP, challenges of tracer safety and CP imaging resolution, and inconsistent cross‑species validation.</w:t>
      </w:r>
    </w:p>
    <w:p>
      <w:r>
        <w:t xml:space="preserve"> </w:t>
      </w:r>
    </w:p>
    <w:p>
      <w:pPr>
        <w:pStyle w:val="Heading2"/>
      </w:pPr>
      <w:r>
        <w:t>Abstract</w:t>
      </w:r>
    </w:p>
    <w:p>
      <w:r>
        <w:t>Hydrocephalus involves excessive cerebrospinal fluid (CSF) and enlarged brain ventricles (ventriculomegaly). We test whether abnormal signaling through adenosine A2A receptors (A2AR) in choroid plexus epithelium links brain injury to increased CSF secretion and ventricular enlargement. The approach combines ex vivo real‑time sensors (cAMP/PKA/Ca2+), Ussing chamber ion transport (short‑circuit current, Isc), CP‑targeted genetic manipulations, PK/PD and microdialysis for drug occupancy, and longitudinal in vivo MRI for CSF flow and ventricular volumes. Mechanistic assays probe parallel pathways: PI3K/AKT→SPAK phosphorylation (fast post‑translational regulation) and NF‑κB→ATP1A2 transcription (longer‑term regulation of Na+/K+ ATPase). Main contribution is a multiscale causal test linking A2AR activity in CP to functional CSF output and structural brain change, and evaluating repurposing of istradefylline (an FDA‑approved A2AR antagonist). Expected outcome: clear, testable evidence for or against CP A2AR as a therapeutic target, quantitative PK/occupancy benchmarks for CP, and validated imaging and ex vivo endpoints for translation to human studies.</w:t>
      </w:r>
    </w:p>
    <w:p>
      <w:r>
        <w:t xml:space="preserve"> </w:t>
      </w:r>
    </w:p>
    <w:p>
      <w:pPr>
        <w:pStyle w:val="Heading2"/>
      </w:pPr>
      <w:r>
        <w:t>Experiments</w:t>
      </w:r>
    </w:p>
    <w:p>
      <w:r>
        <w:t>Datasets: (1) ex vivo CP tissue from two mouse strains (C57BL/6 and CD-1), both sexes; n pilot=6 preps, scaled conservative n=8 per group; (2) primary CP epithelial cultures and human iPSC-derived CP organoids (n=6–8 wells per condition); (3) in vivo cohorts for longitudinal MRI: optimistic N=8 animals per arm, conservative N=12–15 per arm allowing 25–35% attrition; timepoints baseline, acute (hours), and longitudinal (weeks 1,2,4,8). Baselines: vehicle control, A2AR global or CP-restricted knockout (Ttr-Cre), inactive ligand analog, DREADD-no-receptor and vehicle. Interventions: CGS-21680 agonist ex vivo (10–100 nM titration), ZM241385 ex vivo antagonist (50–200 nM), systemic istradefylline (start 3 mg/kg oral), CP‑targeted Gs‑DREADD activation, PI3K inhibitor, SPAK inhibitor, NF‑κB inhibitor, ATP1A2 knockdown. Primary evaluation metrics: ex vivo peak Epac FRET ΔR (cAMP sensor), Isc change (%) in Ussing chamber, transporter phospho‑SPAK levels (western/targeted MS), ATP1A2 mRNA/protein, CSF production rate (ventriculo‑cisternal perfusion or DCE‑MRI), ventricular volume by high‑resolution T2 MRI (voxel ≤100 μm). Secondary metrics: PC‑MRI CSF flow, microdialysis CP unbound drug concentration (LC‑MS/MS), ex vivo radioligand displacement (occupancy), behavioral and cardiovascular vitals. Experimental setup: randomize and blind treatments; per‑prep sensor QC: SNR≥8, Epac ΔR≥15% dynamic range; Ussing QC: stable baseline Isc and resistance. Statistical plan: primary endpoint = percent change in ventricular volume over time; mixed‑effects model pre-registered: ventricular_volume ~ treatment * time + sex + strain + estrous + (1 + time | animal), covariance AR(1) or unstructured evaluated by AIC; primary imaging comparison gated first, secondary endpoints tested under FDR. Power/samples: simulate mixed models with simr (R) using pilot SDs; present power curves for effect sizes 10–30% (ventricle) and 20–30% (Isc). Comparison/ablation studies: (A) block PI3K/AKT (pharmacologic) to test SPAK pathway contribution; (B) inhibit NF‑κB or knockdown ATP1A2 to test transcriptional arm; (C) test istradefylline vs vehicle for prevention; (D) DREADD Gs activation vs CGS‑21680 to dissociate receptor pharmacology vs Gs signaling. Report raw and normalized metrics, confidence intervals, and mixed‑model effect estimates.</w:t>
      </w:r>
    </w:p>
    <w:p>
      <w:r>
        <w:t xml:space="preserve"> </w:t>
      </w:r>
    </w:p>
    <w:p>
      <w:pPr>
        <w:pStyle w:val="Heading2"/>
      </w:pPr>
      <w:r>
        <w:t>Risk Factors And Limitations</w:t>
      </w:r>
    </w:p>
    <w:p>
      <w:r>
        <w:t>Low or variable A2AR expression in rodent and human CP may yield weak or inconsistent signals. Microdialysis adjacent to CP is technically difficult (probe placement, low recovery); failure could prevent direct unbound CP drug measures. Small CP volume and low receptor Bmax limit PET occupancy sensitivity and make CP segmentation unreliable at some resolutions; Dice/ICC targets may not be achievable on all scanners. Istradefylline and other ligands can have off-target effects (A1/A2B cross‑reactivity, peripheral actions). Chemogenetic ligands (CNO/DCZ) produce metabolites (e.g., clozapine) that can confound results if not quantified. MRI tracer use (intraventricular gadolinium) has safety/toxicity limits and may be restricted; alternative tracers may provide different quantitative readouts. Attrition, surgical complications, and missing longitudinal visits can reduce power; mixed models assume missing at random (MAR) which may be violated. Species and sex differences can limit translation to humans. Quantitative PK/PD and occupancy estimates depend on accurate tissue free fraction (fu) measurements, which have assay variability. Computational and imaging pipelines require containerization and validation; failure to version and test code risks reproducibility problems.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