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trc_lab_analytical_errors_2021_2023</w:t>
      </w:r>
    </w:p>
    <w:p>
      <w:r>
        <w:t xml:space="preserve"> </w:t>
      </w:r>
    </w:p>
    <w:p>
      <w:pPr>
        <w:pStyle w:val="Heading2"/>
      </w:pPr>
      <w:r>
        <w:t>Title</w:t>
      </w:r>
    </w:p>
    <w:p>
      <w:r>
        <w:t>Retrospective descriptive analysis of laboratory analytical errors across the total testing process using six-sigma metrics in a Thai Red Cross Society general hospital (2021–2023)</w:t>
      </w:r>
    </w:p>
    <w:p>
      <w:r>
        <w:t xml:space="preserve"> </w:t>
      </w:r>
    </w:p>
    <w:p>
      <w:pPr>
        <w:pStyle w:val="Heading2"/>
      </w:pPr>
      <w:r>
        <w:t>Short Hypothesis</w:t>
      </w:r>
    </w:p>
    <w:p>
      <w:r>
        <w:t>Operational factors (shift, instrument ID, reagent lot, and ward) explain at least 30% of the variability in preventable analytical error rates across the total testing process in the Thai Red Cross Society general hospital laboratory for 2021–2023.</w:t>
      </w:r>
    </w:p>
    <w:p>
      <w:r>
        <w:t xml:space="preserve"> </w:t>
      </w:r>
    </w:p>
    <w:p>
      <w:pPr>
        <w:pStyle w:val="Heading2"/>
      </w:pPr>
      <w:r>
        <w:t>Related Work</w:t>
      </w:r>
    </w:p>
    <w:p>
      <w:r>
        <w:t>Prior work on laboratory errors has commonly categorized errors by phase (pre‑analytical, analytical, post‑analytical), reported higher error counts in pre‑analytical steps, and used descriptive statistics or single-source TEa (total allowable error) rules for classification. Several studies applied six‑sigma or sigma metrics to quantify process capability but often at single analyzers or short time windows. Informatics efforts have used deterministic LIS–EMR linkage but rarely reported probabilistic linkage, clerical review procedures, or propagation of linkage uncertainty into outcome models. Interrupted time series and mixed‑effects models have been used for KPI evaluation, but many prior analyses lacked formal power/simulation accounting for clustering (ICC) and temporal autocorrelation (AR(1)). Human‑factors and pilot alert‑validation have been underreported. Common limitations across existing approaches include limited multi‑year data, inconsistent TEa provenance and tie‑break rules, inadequate handling of missing or unlinked records, small numbers for rare clinical events, and lack of reproducible codebooks and containerized analysis pipelines.</w:t>
      </w:r>
    </w:p>
    <w:p>
      <w:r>
        <w:t xml:space="preserve"> </w:t>
      </w:r>
    </w:p>
    <w:p>
      <w:pPr>
        <w:pStyle w:val="Heading2"/>
      </w:pPr>
      <w:r>
        <w:t>Abstract</w:t>
      </w:r>
    </w:p>
    <w:p>
      <w:r>
        <w:t>This study analyzes three years (2021–2023) of laboratory error records from a Thai Red Cross Society general hospital to quantify and model analytical errors across the total testing process. We apply descriptive statistics and six‑sigma metrics (a measure of process performance; higher sigma indicates fewer defects) to classify errors into pre‑analytical, analytical, and post‑analytical phases and by specimen source. Deterministic and probabilistic linkage methods will join LIS and EMR data to enable analysis of operational correlates (shift, instrument, reagent lot, ward) and clinical timelines (critical‑value notification). Primary contributions are: (1) a reproducible codebook and TEa provenance table that resolves conflicting allowable error sources; (2) mixed‑effects regression and interrupted time‑series models that account for clustering and temporal autocorrelation; and (3) evaluation of linkage uncertainty and a 3‑month pilot of LIMS alert rules. Expected outcomes include quantified error rates, sigma metrics per assay, identification of high‑yield error drivers, and an auditable pre‑analysis plan to guide targeted quality improvements.</w:t>
      </w:r>
    </w:p>
    <w:p>
      <w:r>
        <w:t xml:space="preserve"> </w:t>
      </w:r>
    </w:p>
    <w:p>
      <w:pPr>
        <w:pStyle w:val="Heading2"/>
      </w:pPr>
      <w:r>
        <w:t>Experiments</w:t>
      </w:r>
    </w:p>
    <w:p>
      <w:r>
        <w:t>Datasets: (1) LIS incident logs, analyzer event logs, QC data, reagent lot history, and specimen quality indices (hemolysis, lipemia, icterus) for 2021–2023; (2) EMR timestamps and patient identifiers for probabilistic linkage; (3) QA/CAPA records and pilot LIMS alert logs (3‑month pilot). Extracted variables: patient MRN/name/DOB/sex, specimen accession, collection/accession/result timestamps, analyte, result value, QC flag, hemolysis/lipemia/icterus indices, instrument ID, reagent lot, analyst ID, ward, shift, and incident classification. Baselines: (A) descriptive incident counts per phase and per 10,000 tests; (B) TEa classification using CLIA-only rules; (C) six‑sigma metrics computed using traditional sigma formula (sigma = (TEa − |bias|)/CV). Evaluation metrics: error rate per 10,000 tests, sigma metric per analyte, proportion preventable errors, median critical‑value notification time (minutes), R-squared (variance explained) for mixed models, ICC, linkage match rate, false-match rate, AIC/BIC for model fit, and coverage of 95% CIs. Linkage: deterministic match by MRN+accession+timestamp; fallback probabilistic Fellegi–Sunter scoring with thresholds (≥0.85 auto, 0.40–0.85 clerical). Model 1: mixed‑effects logistic regression for binary preventable error per test with fixed effects (shift, test volume, reagent lot change, staff experience, month) and random intercepts for instrument, assay, and analyst; report R2 and ICC. Model 2: ITS segmented mixed model for log(notification_time) with AR(1) residuals and random intercepts (instrument, ward). Ablation/comparison studies: (i) TEa source comparison — classify errors using CLIA-only vs hierarchical TEa (CLIA→CAP/CLSI→BV/manufacturer) and compare error rates and sigma; (ii) linkage uncertainty — run models on (a) deterministic-only linkage, (b) probabilistic best-match only, (c) multiple linkage draws (n=50) with pooled parameter estimates to measure effect of linkage uncertainty; (iii) model structure — compare mixed model with and without AR(1), and segmented ITS vs spline ITS; evaluate changes in effect estimates, AIC, and residual autocorrelation. Statistical setup: use k‑fold cross‑validation at cluster level (ward or instrument) for predictive checks, simulate power scenarios with ICC in {0.01,0.03,0.05} and AR(1) rho in {0.0,0.3,0.6} to verify sample adequacy, set alpha=0.05 and two‑sided tests. Reproducibility: provide version‑controlled code, data dictionary, and container image for all extraction and analysis scripts.</w:t>
      </w:r>
    </w:p>
    <w:p>
      <w:r>
        <w:t xml:space="preserve"> </w:t>
      </w:r>
    </w:p>
    <w:p>
      <w:pPr>
        <w:pStyle w:val="Heading2"/>
      </w:pPr>
      <w:r>
        <w:t>Risk Factors And Limitations</w:t>
      </w:r>
    </w:p>
    <w:p>
      <w:r>
        <w:t>Incomplete or inconsistent identifiers causing an elevated unlinked fraction and biased estimates; misclassification from conflicting TEa sources if tie‑break rules are imperfect; low counts of critical events or rare adverse outcomes limiting power and precision; nonrandom missingness (MNAR) that invalidates standard imputation assumptions; linkage errors propagating bias if not properly quantified; model misspecification (wrong AR structure or omitted time‑varying confounders) leading to spurious inferences; single‑site data limiting external generalizability; human factors and reporting changes over time causing secular trends unrelated to analytical quality; inability to re‑test retained specimens due to regulatory constraints, reducing validation options; audit and IRB requirements delaying data access; and computational costs for multiple linkage draws and intensive mixed‑model simulations for large clustered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