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anion_gap_corr_lactate_sepsis_ed</w:t>
      </w:r>
    </w:p>
    <w:p>
      <w:r>
        <w:t xml:space="preserve"> </w:t>
      </w:r>
    </w:p>
    <w:p>
      <w:pPr>
        <w:pStyle w:val="Heading2"/>
      </w:pPr>
      <w:r>
        <w:t>Title</w:t>
      </w:r>
    </w:p>
    <w:p>
      <w:r>
        <w:t>Albumin-corrected anion gap as a predictor of elevated serum lactate in emergency department patients with sepsis without shock: a retrospective multicenter ROC and decision-curve analysis</w:t>
      </w:r>
    </w:p>
    <w:p>
      <w:r>
        <w:t xml:space="preserve"> </w:t>
      </w:r>
    </w:p>
    <w:p>
      <w:pPr>
        <w:pStyle w:val="Heading2"/>
      </w:pPr>
      <w:r>
        <w:t>Short Hypothesis</w:t>
      </w:r>
    </w:p>
    <w:p>
      <w:r>
        <w:t>In adult emergency department patients meeting Sepsis-3 criteria without septic shock, each 1 mmol/L increase in albumin-corrected anion gap (AGcorr) on the initial BMP increases the odds of having serum lactate ≥2.0 mmol/L.</w:t>
      </w:r>
    </w:p>
    <w:p>
      <w:r>
        <w:t xml:space="preserve"> </w:t>
      </w:r>
    </w:p>
    <w:p>
      <w:pPr>
        <w:pStyle w:val="Heading2"/>
      </w:pPr>
      <w:r>
        <w:t>Related Work</w:t>
      </w:r>
    </w:p>
    <w:p>
      <w:r>
        <w:t>Prior work has examined the anion gap (AG) and simple laboratory markers to screen for tissue hypoperfusion or elevated lactate in sepsis. Existing approaches include using uncorrected AG, bicarbonate, or combined clinical scores to predict elevated lactate or worse outcomes. Common limitations are small single-center samples, inclusion of patients with septic shock (which mixes physiology), lack of albumin correction of AG (albumin lowers AG and confounds interpretation), inconsistent pairing of BMP and lactate timestamps, no harmonized handling of arterial versus venous or point-of-care lactate assays, and inadequate adjustment for measurement bias across instruments. Few studies prespecified decision-analytic thresholds (net benefit) or used mixed-effects models to account for site variation, and external validation is rare. Measurement-error correction methods and explicit exclusion or modeling of major biological confounders (DKA, ESRD, metformin) are often missing or inconsistent.</w:t>
      </w:r>
    </w:p>
    <w:p>
      <w:r>
        <w:t xml:space="preserve"> </w:t>
      </w:r>
    </w:p>
    <w:p>
      <w:pPr>
        <w:pStyle w:val="Heading2"/>
      </w:pPr>
      <w:r>
        <w:t>Abstract</w:t>
      </w:r>
    </w:p>
    <w:p>
      <w:r>
        <w:t>Problem: Rapid bedside indicators to identify sepsis patients at risk for elevated serum lactate could improve triage when lactate testing is delayed or unavailable. Approach: We will perform a retrospective multicenter emergency department study of adult patients meeting Sepsis-3 criteria without septic shock, testing whether albumin-corrected anion gap (AGcorr) from the initial basic metabolic panel predicts serum lactate ≥2.0 mmol/L and ≥4.0 mmol/L. Main methods: multivariable mixed-effects logistic regression with site random intercepts, ROC analysis, decision curve analysis (net benefit), and prespecified measurement-error correction using regression calibration. Contributions: (1) lock a harmonized AGcorr definition and lab-pairing rules, (2) identify optimal AGcorr cutoffs for two lactate thresholds using decision-curve criteria linked to ED actions, and (3) externally validate performance across sites and assay types. Expected outcome: quantifiable diagnostic performance (AUC, sensitivity, specificity, predictive values, net benefit) of AGcorr to guide pragmatic lactate testing decisions in the ED, with clear limits for transportability and use in CDS.</w:t>
      </w:r>
    </w:p>
    <w:p>
      <w:r>
        <w:t xml:space="preserve"> </w:t>
      </w:r>
    </w:p>
    <w:p>
      <w:pPr>
        <w:pStyle w:val="Heading2"/>
      </w:pPr>
      <w:r>
        <w:t>Experiments</w:t>
      </w:r>
    </w:p>
    <w:p>
      <w:r>
        <w:t>Datasets: retrospective EHR extracts from 3 geographically distinct ED systems. Inclusion: adult encounters with Sepsis-3 diagnosis in ED, no vasopressor use in ED to maintain MAP ≥65 mmHg AND lactate &gt;2 after adequate fluid resuscitation (per exclusion rule). Required fields: initial BMP (Na, K, Cl, HCO3), albumin, serum lactate with sample type (arterial/venous/POC), timestamps, eGFR, dialysis status, metformin exposure, diagnosis codes (DKA, seizure, toxic ingestions), instrument metadata (analyzer model), and processing times. Pilot: 200–300 encounters for prevalence/missingness; main: target N≈600. Primary predictor: AGcorr = (Na + K) − (Cl + HCO3) + 2.5*(4.4 − albumin g/dL). Primary outcome: lactate ≥2.0 mmol/L; secondary: lactate ≥4.0 mmol/L and clinical outcomes (ICU admission, vasopressor initiation, in-hospital mortality). Baselines: (1) uncorrected AG, (2) bicarbonate alone, (3) simple clinical model (age + SOFA components), (4) machine-learning model (gradient-boosted trees) using same covariates. Models: mixed-effects logistic regression (site random intercept) for primary analysis; gradient-boosted trees as nonparametric baseline. Missing data: multiple imputation by chained equations (MICE). Measurement-error correction: primary method regression calibration (a simple statistical correction using measured site offsets from pooled split-specimens); sensitivity analyses using SIMEX and Bayesian measurement-error models. Threshold selection: Youden index and decision curve analysis (net benefit) to propose CDS tiers; evaluate cutoffs that maximize net benefit at clinician-acceptable risk thresholds. Validation: temporal split (train on earlier dates, validate later) and external validation on at least one withheld site. Evaluation metrics: AUC (ROC), sensitivity, specificity, PPV, NPV, calibration intercept and slope, Brier score, continuous NRI/IDI, decision-curve net benefit, and alert burden estimates (alerts per 100 encounters). Ablations: (A) remove albumin correction (AG vs AGcorr), (B) exclude ESRD/dialysis and metformin cases from analysis, (C) vary pairing window (30 min vs 60 min), (D) no site random effects vs with random effects, (E) regression calibration vs simple offset vs no correction. Statistical power: target 10–15 events per covariate; pilot refines prevalence to finalize sample-size table.</w:t>
      </w:r>
    </w:p>
    <w:p>
      <w:r>
        <w:t xml:space="preserve"> </w:t>
      </w:r>
    </w:p>
    <w:p>
      <w:pPr>
        <w:pStyle w:val="Heading2"/>
      </w:pPr>
      <w:r>
        <w:t>Risk Factors And Limitations</w:t>
      </w:r>
    </w:p>
    <w:p>
      <w:r>
        <w:t>Observational design prevents causal inference; association does not prove causation. Confounding from unmeasured causes of lactate (seizure, occult ischemia, toxins) may bias estimates. Measurement bias across analyzers, assay types (POC vs central), or sample sites (arterial vs venous) can reduce accuracy; inter-site offsets may exceed correction ability. Missingness in albumin or delayed processing times can reduce usable pairs and power. Small numbers in subgroups (ESRD, DKA, recent chemotherapy) may limit subgroup conclusions. External validation may show reduced performance (lack of transportability) if instrument methods or patient mix differ. Overfitting risk for complex models if event counts are low. Setting CDS thresholds before pilot data risks excessive false positives and alert fatigue. Regulatory or data governance delays (IRB, data use agreements) may slow data collection. Generalizability: results apply to ED sepsis without shock and may not extend to ICU cohorts or non-sepsis diagnoses.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