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triherbal_antithromboinflammation</w:t>
      </w:r>
    </w:p>
    <w:p>
      <w:r>
        <w:t xml:space="preserve"> </w:t>
      </w:r>
    </w:p>
    <w:p>
      <w:pPr>
        <w:pStyle w:val="Heading2"/>
      </w:pPr>
      <w:r>
        <w:t>Title</w:t>
      </w:r>
    </w:p>
    <w:p>
      <w:r>
        <w:t>Evaluation of a 1:1:1 aqueous blend of Moringa oleifera, Ocimum gratissimum, and Vernonia amygdalina on thromboinflammatory markers and thrombus formation in diabetic rats</w:t>
      </w:r>
    </w:p>
    <w:p>
      <w:r>
        <w:t xml:space="preserve"> </w:t>
      </w:r>
    </w:p>
    <w:p>
      <w:pPr>
        <w:pStyle w:val="Heading2"/>
      </w:pPr>
      <w:r>
        <w:t>Short Hypothesis</w:t>
      </w:r>
    </w:p>
    <w:p>
      <w:r>
        <w:t>Oral administration of a 1:1:1 blended aqueous extract of Moringa oleifera, Ocimum gratissimum, and Vernonia amygdalina at 150 mg/kg for 28 days reduces thromboinflammation—measured by decreased thrombin generation, platelet activation, neutrophil extracellular traps (NETs), complement activation, and thrombus size—in experimentally induced diabetic rats compared with vehicle control.</w:t>
      </w:r>
    </w:p>
    <w:p>
      <w:r>
        <w:t xml:space="preserve"> </w:t>
      </w:r>
    </w:p>
    <w:p>
      <w:pPr>
        <w:pStyle w:val="Heading2"/>
      </w:pPr>
      <w:r>
        <w:t>Related Work</w:t>
      </w:r>
    </w:p>
    <w:p>
      <w:r>
        <w:t>Prior preclinical work shows that individual extracts of Moringa, Ocimum, and Vernonia possess anti-inflammatory, antioxidant, and in some cases antiplatelet activity. Existing studies typically test single herbs or crude extracts on isolated endpoints (for example, cytokine release, oxidative stress markers, or platelet aggregation) and often use non‑diabetic models. Limitations in the literature include: (1) lack of standardized multi‑herb blends and limited chemical fingerprinting, so batch variability is poorly controlled; (2) most studies report acute or single‑timepoint outcomes without integrated PK/PD (pharmacokinetic/pharmacodynamic) linkage; (3) few studies evaluate thromboinflammatory endpoints together (coagulation, platelets, NETs, complement); (4) inadequate assay validation for NET and complement markers in rodent plasma and weak control of preanalytical artifacts (ex vivo activation); and (5) sparse use of diabetic models and sex as a biological variable. These gaps limit confidence in translational relevance and mechanistic interpretation.</w:t>
      </w:r>
    </w:p>
    <w:p>
      <w:r>
        <w:t xml:space="preserve"> </w:t>
      </w:r>
    </w:p>
    <w:p>
      <w:pPr>
        <w:pStyle w:val="Heading2"/>
      </w:pPr>
      <w:r>
        <w:t>Abstract</w:t>
      </w:r>
    </w:p>
    <w:p>
      <w:r>
        <w:t>Diabetes increases the risk of thrombosis driven by chronic inflammation, platelet activation, complement activation, and neutrophil extracellular trap (NET) formation. This study tests whether a standardized 1:1:1 aqueous blend of Moringa oleifera, Ocimum gratissimum, and Vernonia amygdalina reduces thromboinflammation in diabetic rats. We will standardize extracts by UHPLC‑HRMS fingerprinting and DNA barcoding, perform acute toxicity screening, and dose diabetic (STZ and HFD+low‑dose STZ) male and female rats with blended and single‑herb extracts for 28 days. Primary outcomes are thrombus formation (time‑to‑occlusion or thrombus size) in validated in vivo thrombosis models and thrombin generation parameters (ETP, lag time). Secondary outcomes include platelet activation markers, NET markers (citH3, MPO‑DNA), complement fragments (C5a, sC5b‑9), D‑dimer, and PK metrics (Cmax, AUC) for prioritized marker compounds. The main contribution is an integrated, standardized preclinical pipeline linking chemical fingerprinting, exposure, and multi‑domain thromboinflammatory readouts to evaluate a triherbal phytotherapeutic approach in diabetes. Expected outcome: demonstration of reproducible biochemical and functional reduction in thromboinflammatory signals that can be related to exposure of defined marker compounds.</w:t>
      </w:r>
    </w:p>
    <w:p>
      <w:r>
        <w:t xml:space="preserve"> </w:t>
      </w:r>
    </w:p>
    <w:p>
      <w:pPr>
        <w:pStyle w:val="Heading2"/>
      </w:pPr>
      <w:r>
        <w:t>Experiments</w:t>
      </w:r>
    </w:p>
    <w:p>
      <w:r>
        <w:t>Study design: randomized, blinded, controlled in vivo study with two diabetic models: Type 1‑like (STZ 60 mg/kg i.p.) and Type 2‑like (high‑fat diet 4 weeks + STZ 30–35 mg/kg i.p.). Animals: male and female Sprague Dawley rats, n=10 per group (initial; refine after pilot variance). Groups: non‑diabetic vehicle, diabetic vehicle, diabetic + blended extract 150 mg/kg, diabetic + blended extract 50 mg/kg, diabetic + blended extract 500 mg/kg, diabetic + individual extracts (Moringa 150, Ocimum 150, Vernonia 150 mg/kg), diabetic + positive control antiplatelet (aspirin low dose) and anticoagulant control (low‑molecular‑weight heparin) as pharmacologic benchmarks. Acute toxicity: Lorke method. Extraction QC: UHPLC‑HRMS fingerprinting and DNA barcoding for each batch; accept batch if fingerprint within chemometric threshold. PK sampling: satellite full PK groups (n=4 per group) with plasma at 0, 0.5, 1, 2, 4, 8, 24 h after single dose to derive Cmax and AUC; main efficacy groups use sparse sampling (pre‑dose, Tmax estimate, trough). Bioanalysis: validated LC‑MS/MS for marker compounds and major phase II metabolites (glucuronides/sulfates) including stability tests. Primary efficacy assays: in vivo FeCl3 carotid artery thrombosis and IVC stenosis measuring time‑to‑occlusion (seconds) and thrombus mass/volume (mg/mm or mm3). Thrombin generation (CAT): lag time, peak, ETP (ETP = endogenous thrombin potential; total thrombin formed). Platelet assays: aggregation (ADP, collagen, TRAP) and flow cytometry for P‑selectin and activated GPIIb/IIIa. NETs and complement: plasma citH3, MPO‑DNA ELISA, C5a and sC5b‑9 ELISAs. Coagulation: PT and aPTT. Fibrin turnover: fibrinogen and D‑dimer. PK/PD analysis: link individual AUC/Cmax to primary endpoints with mixed‑effects regression. Baselines: diabetic vehicle and pharmacologic controls. Evaluation metrics: primary endpoint = difference in time‑to‑occlusion or thrombus size (ANOVA/Mixed model; α=0.05). Secondary metrics: percent change in ETP, platelet aggregation area under curve, citH3 and MPO‑DNA levels, C5a/sC5b‑9, D‑dimer. Statistical plan: mixed‑effects models for repeated measures, Cox or survival analysis for time‑to‑occlusion, FDR control (Benjamini‑Hochberg) for biomarker panels. Ablation studies: compare blended extract vs recombined fractions (reconstituted active fraction vs depleted fraction) and vs single herbs to test blend synergy. Assay validation: define LLOQ, linearity, recovery, matrix effects for each assay before primary analysis.</w:t>
      </w:r>
    </w:p>
    <w:p>
      <w:r>
        <w:t xml:space="preserve"> </w:t>
      </w:r>
    </w:p>
    <w:p>
      <w:pPr>
        <w:pStyle w:val="Heading2"/>
      </w:pPr>
      <w:r>
        <w:t>Risk Factors And Limitations</w:t>
      </w:r>
    </w:p>
    <w:p>
      <w:r>
        <w:t>Extract variability: natural batch-to-batch chemical differences may confound results if fingerprinting thresholds are not met. Assay interference: complex botanical matrices can interfere with immunoassays and LAL endotoxin tests, causing false positives/negatives. Preanalytical artifacts: delayed processing or wrong anticoagulant can cause ex vivo NET or complement activation, biasing results. PK complexity: multiple constituents with overlapping metabolism (phase II conjugation) may produce metabolites that are hard to quantify; metabolite instability may reduce measurable exposure. Statistical power: effect sizes may be smaller than expected and CVs larger, risking false negatives with planned group sizes. Translational limit: rat metabolism and immune responses differ from humans, limiting direct dose extrapolation. Herb–herb interactions: pharmacokinetic or pharmacodynamic interactions among constituents can mask individual active effects. Regulatory/readout constraints: some assays (citH3, MPO‑DNA, sC5b‑9) may lack well‑validated commercial kits for rat plasma, adding validation burden. Operational: controlling endotoxin in botanical suspensions and ensuring sterility for parenteral fractions is technically challenging.</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