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fcm_trust_cds</w:t>
      </w:r>
    </w:p>
    <w:p>
      <w:r>
        <w:t xml:space="preserve"> </w:t>
      </w:r>
    </w:p>
    <w:p>
      <w:pPr>
        <w:pStyle w:val="Heading2"/>
      </w:pPr>
      <w:r>
        <w:t>Title</w:t>
      </w:r>
    </w:p>
    <w:p>
      <w:r>
        <w:t>Quantifying clinicians' perceived trust in interpretable COVID-19 clinical decision support using fuzzy cognitive maps</w:t>
      </w:r>
    </w:p>
    <w:p>
      <w:r>
        <w:t xml:space="preserve"> </w:t>
      </w:r>
    </w:p>
    <w:p>
      <w:pPr>
        <w:pStyle w:val="Heading2"/>
      </w:pPr>
      <w:r>
        <w:t>Short Hypothesis</w:t>
      </w:r>
    </w:p>
    <w:p>
      <w:r>
        <w:t>Perceived trust scores derived from clinician-elicited fuzzy cognitive maps (measured by a degree-of-agreement metric) predict clinicians' case-level acceptance of an interpretable COVID-19 CDS more accurately than conventional per-case Likert trust scales.</w:t>
      </w:r>
    </w:p>
    <w:p>
      <w:r>
        <w:t xml:space="preserve"> </w:t>
      </w:r>
    </w:p>
    <w:p>
      <w:pPr>
        <w:pStyle w:val="Heading2"/>
      </w:pPr>
      <w:r>
        <w:t>Related Work</w:t>
      </w:r>
    </w:p>
    <w:p>
      <w:r>
        <w:t>Prior approaches measure clinician trust with simple surveys (Likert scales), usability instruments (SUS), or behavioral proxies (accept/override rates, time-to-decision). Explainable-AI methods (feature attributions, counterfactuals, exemplar cases) are used to improve transparency, and behavioral studies compare explanation styles. Mental-model elicitation techniques (think-aloud, concept maps) capture clinicians' reasoning qualitatively. Fuzzy cognitive maps (FCMs) have been used outside clinical CDS to model causal beliefs as weighted concept networks, but they have seen limited application to quantifying perceived trust in healthcare AI. Existing work commonly: (1) treats trust as a unidimensional self-report, (2) lacks a quantitative representation of an individual clinician's mental model, (3) rarely validates subjective trust measures against within-case behavior, and (4) does not use a reproducible, numeric agreement metric between clinician mental models and system/expert models. Gaps include low ecological validity of lab-only studies, weak linkage from subjective trust to actual reliance, insufficient handling of clustering by clinician/site, and limited fairness or uncertainty-aware evaluation.</w:t>
      </w:r>
    </w:p>
    <w:p>
      <w:r>
        <w:t xml:space="preserve"> </w:t>
      </w:r>
    </w:p>
    <w:p>
      <w:pPr>
        <w:pStyle w:val="Heading2"/>
      </w:pPr>
      <w:r>
        <w:t>Abstract</w:t>
      </w:r>
    </w:p>
    <w:p>
      <w:r>
        <w:t>We introduce a reproducible method to elicit and quantify clinicians' perceived trust in an interpretable machine-learning clinical decision support (CDS) system for COVID-19 diagnosis using fuzzy cognitive maps (FCMs). An FCM represents a clinician's mental model as a small network of concepts (nodes) and weighted causal links (edges); we compress each clinician's FCM into a numeric vector and compute a degree-of-agreement score against reference models. We test whether the FCM-derived trust score predicts case-level acceptance of CDS recommendations better than standard Likert trust measures. Main contributions: (1) a protocol for rapid FCM elicitation in clinical vignettes; (2) a degree-of-agreement metric to quantify perceived trust; and (3) an experimental evaluation linking FCM trust, behavioral reliance, decision quality, calibration, and subgroup fairness. Expected outcome: a validated, quantitative trust measure that explains clinician reliance on interpretable CDS and that can guide explanation design and safety guardrails.</w:t>
      </w:r>
    </w:p>
    <w:p>
      <w:r>
        <w:t xml:space="preserve"> </w:t>
      </w:r>
    </w:p>
    <w:p>
      <w:pPr>
        <w:pStyle w:val="Heading2"/>
      </w:pPr>
      <w:r>
        <w:t>Experiments</w:t>
      </w:r>
    </w:p>
    <w:p>
      <w:r>
        <w:t>Datasets: (a) De-identified EHR encounters for suspected COVID-19 admissions from 3–5 hospitals (n patients sufficient to create 1,000+ realistic vignettes); (b) synthetic vignette set (N=200) covering prevalence and edge cases; (c) prototype interpretable CDS outputs for each vignette (predicted risk probability, local counterfactuals, global feature importances, exemplar cases). Study population: N_clinicians = 150 (range 120–200) across roles and sites; each clinician evaluates 40 randomized vignettes in a within-subject design. Arms and randomization: within-subject randomization to four explanation conditions per vignette: no-explain, global feature importance, local counterfactual, exemplar cases. Elicitation: for each vignette clinicians (1) provide a per-case Likert trust battery (8 items), (2) construct a short FCM (predefined concept list + up to 8 weighted links), and (3) record accept/override decision and time-to-decision. Degree-of-agreement: compute normalized cosine similarity between clinician FCM weight vector and a reference FCM (system/expert aggregated) yielding a score in [0,1]. Baselines: per-case mean Likert trust composite, SUS block scores, raw acceptance rates, and a behavioral predictor using prior clinician acceptance history. Evaluation metrics: primary = predictive discriminatory performance (AUC) and variance explained (conditional R^2) of acceptance decisions using (i) FCM agreement score and (ii) Likert composite; compare AUCs with DeLong-like clustered variance or bootstrap respecting clinician/site clustering. Secondary metrics: mixed-effects regression coefficients (random intercepts for clinician and site) of trust measures on decision quality (expert concordance, binary), time-to-decision (seconds, log-transformed), calibration metrics (Brier score, calibration slope), and fairness metrics (subgroup AUROC, calibration-in-group, TPR/FPR differences). Ablation studies: (A) FCM without edge weights (topology only); (B) FCM with degree-of-agreement computed against alternative references (expert-only vs system-only); (C) Likert-only model; (D) combined model (FCM + Likert). Power and simulation: run Monte Carlo simulations (1000 reps) across clinician ICCs {0.05,0.10,0.15}, effect sizes d={0.20,0.35,0.50}, uptake rates {0.5,0.8}, and prevalence scenarios to confirm sample size and estimate operating characteristics. Statistical thresholds: two-sided alpha=0.05 with clustering-adjusted SEs; primary hypothesis test is difference in AUC (FCM vs Likert) with prespecified minimal detectable AUC difference = 0.05.</w:t>
      </w:r>
    </w:p>
    <w:p>
      <w:r>
        <w:t xml:space="preserve"> </w:t>
      </w:r>
    </w:p>
    <w:p>
      <w:pPr>
        <w:pStyle w:val="Heading2"/>
      </w:pPr>
      <w:r>
        <w:t>Risk Factors And Limitations</w:t>
      </w:r>
    </w:p>
    <w:p>
      <w:r>
        <w:t>FCM elicitation burden: clinicians may provide inconsistent or sparse maps leading to noisy weight estimates. Degree-of-agreement sensitivity: similarity scores depend on reference-model choice and may be unstable with small reference samples. Measurement bias: social desirability or anchoring may affect FCM construction and Likert responses. Behavioral linkage: acceptance decisions are influenced by workflow factors (time pressure, team input) not captured in vignettes, limiting causal claims. Clustering and power: high clinician or site ICCs reduce effective sample size; Monte Carlo assumptions may be optimistic. Generalization: results on COVID-19 vignettes may not transfer to other conditions or real-time EHR settings. Fairness and sparse strata: intersectional subgroup analyses may be underpowered, producing unstable disparity estimates. Privacy and federated constraints: federated training or DP noise can degrade model or reference FCMs, impacting agreement metrics. Safety risk: using automated suppression based on confidence/FCM signals could unintentionally delay care. Computational cost: elicitation, aggregation, and ensemble uncertainty estimation increase complexity and compute needs.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