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probabilistic_smooth_attention_mil</w:t>
      </w:r>
    </w:p>
    <w:p>
      <w:r>
        <w:t xml:space="preserve"> </w:t>
      </w:r>
    </w:p>
    <w:p>
      <w:pPr>
        <w:pStyle w:val="Heading2"/>
      </w:pPr>
      <w:r>
        <w:t>Title</w:t>
      </w:r>
    </w:p>
    <w:p>
      <w:r>
        <w:t>Probabilistic smooth attention for deep multiple instance learning in medical imaging</w:t>
      </w:r>
    </w:p>
    <w:p>
      <w:r>
        <w:t xml:space="preserve"> </w:t>
      </w:r>
    </w:p>
    <w:p>
      <w:pPr>
        <w:pStyle w:val="Heading2"/>
      </w:pPr>
      <w:r>
        <w:t>Short Hypothesis</w:t>
      </w:r>
    </w:p>
    <w:p>
      <w:r>
        <w:t>Replacing deterministic attention in deep multiple instance learning with a probabilistic attention model that learns a low-rank plus diagonal posterior and a spatial smoothness prior will increase slide-level AUC by at least 0.03 and reduce Expected Calibration Error by at least 0.02 on WSI benchmarks compared to deterministic attention baselines under equal training data and compute budgets.</w:t>
      </w:r>
    </w:p>
    <w:p>
      <w:r>
        <w:t xml:space="preserve"> </w:t>
      </w:r>
    </w:p>
    <w:p>
      <w:pPr>
        <w:pStyle w:val="Heading2"/>
      </w:pPr>
      <w:r>
        <w:t>Related Work</w:t>
      </w:r>
    </w:p>
    <w:p>
      <w:r>
        <w:t>Existing multiple instance learning (MIL) methods for medical images use attention to weight patch contributions to slide labels. Most attention methods are deterministic: they produce a single attention score per patch and do not quantify uncertainty. Graph-based smoothness priors (using Laplacian matrices) have been used to encourage spatially coherent predictions but typically only capture local adjacency and are applied deterministically. Probabilistic or Bayesian attentions exist in related domains to capture uncertainty, but they either ignore structured spatial priors or use full covariances that do not scale to whole-slide patch counts. Low-rank plus diagonal posterior families are used in large-scale variational inference to approximate covariances efficiently, and stochastic Lanczos/SLQ methods are used to estimate log-determinants for large matrices. Current limitations are: deterministic attention cannot express uncertainty; local-only priors miss long-range dependencies; full covariance models are computationally infeasible at WSI scale; and SLQ/Lanczos settings are often hand-tuned without automated spectral diagnostics.</w:t>
      </w:r>
    </w:p>
    <w:p>
      <w:r>
        <w:t xml:space="preserve"> </w:t>
      </w:r>
    </w:p>
    <w:p>
      <w:pPr>
        <w:pStyle w:val="Heading2"/>
      </w:pPr>
      <w:r>
        <w:t>Abstract</w:t>
      </w:r>
    </w:p>
    <w:p>
      <w:r>
        <w:t>We address instance-level interpretability and uncertainty in deep multiple instance learning (MIL) for medical imaging by modeling attention as a probability distribution that captures both local spatial smoothness and long-range interactions. The proposed method places a spatial prior on attention using a graph Laplacian (a matrix encoding neighbor relations) and represents the posterior covariance as low-rank plus diagonal to remain scalable. Low-rank factors model dominant correlations between patches and the diagonal captures per-patch uncertainty. Numerical tools such as matrix-determinant identities and stochastic Lanczos quadrature are used to compute variational objectives efficiently. Main contributions are: a probabilistic attention formulation that yields uncertainty-aware attention maps, a scalable low-rank plus diagonal posterior family compatible with graph smoothness priors, and operational diagnostics for progressing posterior complexity. Expected outcomes are improved bag-level discrimination, better calibrated attention maps, and actionable uncertainty for clinical triage, while keeping compute and memory requirements feasible at whole-slide image scales. Simple diagnostics guide when to increase posterior complexity.</w:t>
      </w:r>
    </w:p>
    <w:p>
      <w:r>
        <w:t xml:space="preserve"> </w:t>
      </w:r>
    </w:p>
    <w:p>
      <w:pPr>
        <w:pStyle w:val="Heading2"/>
      </w:pPr>
      <w:r>
        <w:t>Experiments</w:t>
      </w:r>
    </w:p>
    <w:p>
      <w:r>
        <w:t>Datasets: CAMELYON16/17, PAIP, PANDA, and selected TCGA cohorts; use patient-level splits, stratify by center, hold out one external center for final test. Use at least 300-500 slides per class for bag-level experiments; reserve 100-200 slides with dense region annotations for localization evaluation. Baselines: (1) deterministic attention MIL, (2) probabilistic attention without spatial prior, (3) probabilistic attention with only diagonal posterior, (4) PSA with global dense precision (small N toy experiments). Proposed models: PSA-GMRF (graph Laplacian prior + low-rank+diag posterior) and PSA-flow (when escalated). Metrics: slide-level AUC with DeLong test and patient-level bootstrap 95% CI; calibration: Expected Calibration Error (ECE) and Brier score; localization: IoU, F1, average precision (AP) at thresholds t in {0.001,0.005,0.01,0.05}; uncertainty: predictive entropy and posterior variance statistics; compute: per-epoch wall-clock and peak GPU memory on a single A100. Experimental setup: encode patches with fixed CNN backbone embeddings precomputed; train MIL encoder and posterior parameters end-to-end with minibatch ELBO using S=4 Monte Carlo attention samples per bag. Ablations: (A) vary prior strength beta in grid {1e-2,1e-1,1,10} to isolate local vs global influence; (B) vary posterior rank r in {16,32,64,128} to measure scalability-vs-performance trade-offs; (C) compare SLQ/Lanczos probe and iteration counts m in {20,50,100} for log-determinant accuracy and runtime; (D) temperature schedules tau in {2.0-&gt;0.5 over 5,10,20 epochs} to study identifiability. Report per-condition AUC, ECE, IoU, runtime, and memory; use paired tests to compare to deterministic attention and present learning curves and calibration plots.</w:t>
      </w:r>
    </w:p>
    <w:p>
      <w:r>
        <w:t xml:space="preserve"> </w:t>
      </w:r>
    </w:p>
    <w:p>
      <w:pPr>
        <w:pStyle w:val="Heading2"/>
      </w:pPr>
      <w:r>
        <w:t>Risk Factors And Limitations</w:t>
      </w:r>
    </w:p>
    <w:p>
      <w:r>
        <w:t>Scalability: whole-slide images can contain &gt;100k patches; low-rank factors and SLQ computations grow with N and rank r, which may exceed memory or slow training. Numerical stability: SLQ/Lanczos and log-determinant estimates can be inaccurate if spectral decay is slow or precision matrices are ill-conditioned (condition number is a measure of numerical difficulty). Identifiability: softmax attention is shift-invariant and can drift unless constrained, leading to unstable training. Approximation error: low-rank+diag posterior may miss multimodal posteriors or complex correlations, causing miscalibrated uncertainty. Annotation bias: sparse or noisy region labels limit reliable localization evaluation and can bias metrics. Domain shift: models trained on one center or scanner may not generalize; evaluation requires multi-center testing. Computation cost of escalation: upgrading to normalizing flows or large ranks increases compute 5-20x and may be infeasible for routine use. Privacy and federation: sharing embeddings or Laplacians across sites may raise privacy concerns; federated aggregation or secure protocols can limit performance but are required in some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